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1DABAA" w14:textId="4C957FA3" w:rsidR="00DE7CE6" w:rsidRPr="00E81B35" w:rsidRDefault="3D2C2096" w:rsidP="0C465A4C">
      <w:pPr>
        <w:spacing w:after="0"/>
        <w:jc w:val="center"/>
        <w:rPr>
          <w:rFonts w:ascii="Arial" w:eastAsia="Arial" w:hAnsi="Arial" w:cs="Arial"/>
          <w:color w:val="000000" w:themeColor="text1"/>
          <w:sz w:val="24"/>
          <w:szCs w:val="24"/>
          <w:lang w:val="es-ES"/>
        </w:rPr>
      </w:pPr>
      <w:r w:rsidRPr="0C465A4C">
        <w:rPr>
          <w:rFonts w:ascii="Arial" w:eastAsia="Arial" w:hAnsi="Arial" w:cs="Arial"/>
          <w:b/>
          <w:bCs/>
          <w:color w:val="000000" w:themeColor="text1"/>
          <w:sz w:val="24"/>
          <w:szCs w:val="24"/>
        </w:rPr>
        <w:t xml:space="preserve">RESOLUCIÓN NÚMERO   resolucion_numero   </w:t>
      </w:r>
      <w:proofErr w:type="gramStart"/>
      <w:r w:rsidRPr="0C465A4C">
        <w:rPr>
          <w:rFonts w:ascii="Arial" w:eastAsia="Arial" w:hAnsi="Arial" w:cs="Arial"/>
          <w:b/>
          <w:bCs/>
          <w:color w:val="000000" w:themeColor="text1"/>
          <w:sz w:val="24"/>
          <w:szCs w:val="24"/>
        </w:rPr>
        <w:t>DE  vranio</w:t>
      </w:r>
      <w:proofErr w:type="gramEnd"/>
    </w:p>
    <w:p w14:paraId="2221F1BD" w14:textId="6EA90274" w:rsidR="00DE7CE6" w:rsidRPr="00E81B35" w:rsidRDefault="00DE7CE6" w:rsidP="0C465A4C">
      <w:pPr>
        <w:spacing w:after="0"/>
        <w:jc w:val="center"/>
        <w:rPr>
          <w:rFonts w:ascii="Arial" w:eastAsia="Arial" w:hAnsi="Arial" w:cs="Arial"/>
          <w:color w:val="000000" w:themeColor="text1"/>
          <w:sz w:val="24"/>
          <w:szCs w:val="24"/>
          <w:lang w:val="es-ES"/>
        </w:rPr>
      </w:pPr>
    </w:p>
    <w:p w14:paraId="7C81912A" w14:textId="4515C0FF" w:rsidR="00DE7CE6" w:rsidRPr="00E81B35" w:rsidRDefault="3D2C2096" w:rsidP="0C465A4C">
      <w:pPr>
        <w:spacing w:after="0"/>
        <w:jc w:val="center"/>
        <w:rPr>
          <w:rFonts w:ascii="Arial" w:eastAsia="Arial" w:hAnsi="Arial" w:cs="Arial"/>
          <w:color w:val="000000" w:themeColor="text1"/>
          <w:sz w:val="24"/>
          <w:szCs w:val="24"/>
          <w:lang w:val="es-ES"/>
        </w:rPr>
      </w:pPr>
      <w:r w:rsidRPr="0C465A4C">
        <w:rPr>
          <w:rFonts w:ascii="Arial" w:eastAsia="Arial" w:hAnsi="Arial" w:cs="Arial"/>
          <w:b/>
          <w:bCs/>
          <w:color w:val="000000" w:themeColor="text1"/>
          <w:sz w:val="24"/>
          <w:szCs w:val="24"/>
        </w:rPr>
        <w:t xml:space="preserve"> </w:t>
      </w:r>
    </w:p>
    <w:p w14:paraId="586471FE" w14:textId="7A241FC1" w:rsidR="00DE7CE6" w:rsidRPr="00E81B35" w:rsidRDefault="3D2C2096" w:rsidP="0C465A4C">
      <w:pPr>
        <w:ind w:left="-142" w:right="-283"/>
        <w:jc w:val="center"/>
        <w:rPr>
          <w:rFonts w:ascii="Arial" w:eastAsia="Arial" w:hAnsi="Arial" w:cs="Arial"/>
          <w:color w:val="000000" w:themeColor="text1"/>
          <w:sz w:val="24"/>
          <w:szCs w:val="24"/>
          <w:lang w:val="es-ES"/>
        </w:rPr>
      </w:pPr>
      <w:r w:rsidRPr="0C465A4C">
        <w:rPr>
          <w:rFonts w:ascii="Arial" w:eastAsia="Arial" w:hAnsi="Arial" w:cs="Arial"/>
          <w:b/>
          <w:bCs/>
          <w:color w:val="000000" w:themeColor="text1"/>
          <w:sz w:val="24"/>
          <w:szCs w:val="24"/>
          <w:lang w:val="pt-PT"/>
        </w:rPr>
        <w:t>(vrdia  vrmes  vranio)</w:t>
      </w:r>
    </w:p>
    <w:p w14:paraId="1CEE2592" w14:textId="7F4973DF" w:rsidR="00DE7CE6" w:rsidRPr="00E81B35" w:rsidRDefault="00DE7CE6" w:rsidP="0C465A4C">
      <w:pPr>
        <w:ind w:left="-142" w:right="-283"/>
        <w:jc w:val="center"/>
        <w:rPr>
          <w:rFonts w:ascii="Arial" w:eastAsia="Arial" w:hAnsi="Arial" w:cs="Arial"/>
          <w:color w:val="000000" w:themeColor="text1"/>
          <w:sz w:val="24"/>
          <w:szCs w:val="24"/>
          <w:lang w:val="es-ES"/>
        </w:rPr>
      </w:pPr>
    </w:p>
    <w:p w14:paraId="2F0C5AF3" w14:textId="5A1C0DCC" w:rsidR="00DE7CE6" w:rsidRPr="00E81B35" w:rsidRDefault="3D2C2096" w:rsidP="0C465A4C">
      <w:pPr>
        <w:spacing w:line="276" w:lineRule="auto"/>
        <w:jc w:val="center"/>
        <w:rPr>
          <w:rFonts w:ascii="Arial" w:eastAsia="Arial" w:hAnsi="Arial" w:cs="Arial"/>
          <w:color w:val="000000" w:themeColor="text1"/>
          <w:sz w:val="24"/>
          <w:szCs w:val="24"/>
          <w:lang w:val="es-ES"/>
        </w:rPr>
      </w:pPr>
      <w:r w:rsidRPr="0C465A4C">
        <w:rPr>
          <w:rFonts w:ascii="Arial" w:eastAsia="Arial" w:hAnsi="Arial" w:cs="Arial"/>
          <w:color w:val="000000" w:themeColor="text1"/>
          <w:sz w:val="24"/>
          <w:szCs w:val="24"/>
          <w:lang w:val="pt-PT"/>
        </w:rPr>
        <w:t>“r_asunto”</w:t>
      </w:r>
    </w:p>
    <w:p w14:paraId="421821D3" w14:textId="6417D73A" w:rsidR="00DE7CE6" w:rsidRPr="00E81B35" w:rsidRDefault="00DE7CE6" w:rsidP="0C465A4C">
      <w:pPr>
        <w:spacing w:line="276" w:lineRule="auto"/>
        <w:jc w:val="both"/>
        <w:rPr>
          <w:rFonts w:ascii="Arial" w:eastAsia="Arial" w:hAnsi="Arial" w:cs="Arial"/>
          <w:color w:val="000000" w:themeColor="text1"/>
          <w:sz w:val="24"/>
          <w:szCs w:val="24"/>
          <w:lang w:val="es-ES"/>
        </w:rPr>
      </w:pPr>
    </w:p>
    <w:p w14:paraId="6C2A5F01" w14:textId="218FC818" w:rsidR="00DE7CE6" w:rsidRPr="00E81B35" w:rsidRDefault="3D2C2096" w:rsidP="0C465A4C">
      <w:pPr>
        <w:ind w:left="-142" w:right="-283"/>
        <w:jc w:val="center"/>
        <w:rPr>
          <w:rFonts w:ascii="Arial" w:eastAsia="Arial" w:hAnsi="Arial" w:cs="Arial"/>
          <w:color w:val="000000" w:themeColor="text1"/>
          <w:sz w:val="24"/>
          <w:szCs w:val="24"/>
          <w:lang w:val="es-ES"/>
        </w:rPr>
      </w:pPr>
      <w:r w:rsidRPr="0C465A4C">
        <w:rPr>
          <w:rFonts w:ascii="Arial" w:eastAsia="Arial" w:hAnsi="Arial" w:cs="Arial"/>
          <w:b/>
          <w:bCs/>
          <w:color w:val="000000" w:themeColor="text1"/>
          <w:sz w:val="24"/>
          <w:szCs w:val="24"/>
        </w:rPr>
        <w:t>EL SECRETARIO GENERAL DEL MINISTERIO DE MINAS Y ENERGÍA</w:t>
      </w:r>
    </w:p>
    <w:p w14:paraId="7C2B1B26" w14:textId="529CA13A" w:rsidR="00DE7CE6" w:rsidRPr="00E81B35" w:rsidRDefault="00DE7CE6" w:rsidP="0C465A4C">
      <w:pPr>
        <w:ind w:left="-142" w:right="-283"/>
        <w:jc w:val="center"/>
        <w:rPr>
          <w:rFonts w:ascii="Arial" w:eastAsia="Arial" w:hAnsi="Arial" w:cs="Arial"/>
          <w:color w:val="000000" w:themeColor="text1"/>
          <w:sz w:val="24"/>
          <w:szCs w:val="24"/>
          <w:lang w:val="es-ES"/>
        </w:rPr>
      </w:pPr>
    </w:p>
    <w:p w14:paraId="1A8A91E6" w14:textId="309593D4" w:rsidR="00DE7CE6" w:rsidRPr="00E81B35" w:rsidRDefault="3D2C2096" w:rsidP="0C465A4C">
      <w:pPr>
        <w:ind w:left="-142" w:right="-283"/>
        <w:jc w:val="center"/>
        <w:rPr>
          <w:rFonts w:ascii="Arial" w:eastAsia="Arial" w:hAnsi="Arial" w:cs="Arial"/>
          <w:color w:val="000000" w:themeColor="text1"/>
          <w:sz w:val="24"/>
          <w:szCs w:val="24"/>
          <w:lang w:val="es-ES"/>
        </w:rPr>
      </w:pPr>
      <w:r w:rsidRPr="0C465A4C">
        <w:rPr>
          <w:rFonts w:ascii="Arial" w:eastAsia="Arial" w:hAnsi="Arial" w:cs="Arial"/>
          <w:color w:val="000000" w:themeColor="text1"/>
          <w:sz w:val="24"/>
          <w:szCs w:val="24"/>
        </w:rPr>
        <w:t>En ejercicio de la función de proferir los actos administrativos que declaran deudas u obligaciones a favor del Ministerio de Minas y Energía, delegada mediante la Resolución MME 40548 de 2019, en la forma en que fue modificada por Resolución MME 40408 del 30 de septiembre de 2024, y en aplicación del artículo 99 de la Ley 1437 de 2011, y</w:t>
      </w:r>
    </w:p>
    <w:p w14:paraId="241DADE3" w14:textId="06F8C022" w:rsidR="00DE7CE6" w:rsidRPr="00E81B35" w:rsidRDefault="00DE7CE6" w:rsidP="0C465A4C">
      <w:pPr>
        <w:spacing w:line="276" w:lineRule="auto"/>
        <w:jc w:val="center"/>
        <w:rPr>
          <w:rFonts w:ascii="Arial" w:eastAsia="Arial" w:hAnsi="Arial" w:cs="Arial"/>
          <w:color w:val="000000" w:themeColor="text1"/>
          <w:sz w:val="24"/>
          <w:szCs w:val="24"/>
          <w:lang w:val="es-ES"/>
        </w:rPr>
      </w:pPr>
    </w:p>
    <w:p w14:paraId="2C0CFA9A" w14:textId="597C2704" w:rsidR="00DE7CE6" w:rsidRPr="00E81B35" w:rsidRDefault="3D2C2096" w:rsidP="0C465A4C">
      <w:pPr>
        <w:spacing w:line="276" w:lineRule="auto"/>
        <w:jc w:val="center"/>
        <w:rPr>
          <w:rFonts w:ascii="Arial" w:eastAsia="Arial" w:hAnsi="Arial" w:cs="Arial"/>
          <w:color w:val="000000" w:themeColor="text1"/>
          <w:sz w:val="24"/>
          <w:szCs w:val="24"/>
          <w:lang w:val="es-ES"/>
        </w:rPr>
      </w:pPr>
      <w:r w:rsidRPr="0C465A4C">
        <w:rPr>
          <w:rFonts w:ascii="Arial" w:eastAsia="Arial" w:hAnsi="Arial" w:cs="Arial"/>
          <w:b/>
          <w:bCs/>
          <w:color w:val="000000" w:themeColor="text1"/>
          <w:sz w:val="24"/>
          <w:szCs w:val="24"/>
        </w:rPr>
        <w:t>CONSIDERANDO:</w:t>
      </w:r>
    </w:p>
    <w:p w14:paraId="059DEC3D" w14:textId="41CEDEEA" w:rsidR="00DE7CE6" w:rsidRPr="00E81B35" w:rsidRDefault="00DE7CE6" w:rsidP="0C465A4C">
      <w:pPr>
        <w:spacing w:line="276" w:lineRule="auto"/>
        <w:jc w:val="center"/>
        <w:rPr>
          <w:rFonts w:ascii="Arial" w:eastAsia="Arial" w:hAnsi="Arial" w:cs="Arial"/>
          <w:color w:val="000000" w:themeColor="text1"/>
          <w:sz w:val="24"/>
          <w:szCs w:val="24"/>
          <w:lang w:val="es-ES"/>
        </w:rPr>
      </w:pPr>
    </w:p>
    <w:p w14:paraId="00FE7161" w14:textId="3A99D75C" w:rsidR="00DE7CE6" w:rsidRPr="00E81B35" w:rsidRDefault="3D2C2096" w:rsidP="0C465A4C">
      <w:pPr>
        <w:ind w:right="-283"/>
        <w:rPr>
          <w:rFonts w:ascii="Arial" w:eastAsia="Arial" w:hAnsi="Arial" w:cs="Arial"/>
          <w:color w:val="000000" w:themeColor="text1"/>
          <w:sz w:val="24"/>
          <w:szCs w:val="24"/>
          <w:lang w:val="es-ES"/>
        </w:rPr>
      </w:pPr>
      <w:r w:rsidRPr="544F0F6E">
        <w:rPr>
          <w:rFonts w:ascii="Arial" w:eastAsia="Arial" w:hAnsi="Arial" w:cs="Arial"/>
          <w:b/>
          <w:bCs/>
          <w:color w:val="000000" w:themeColor="text1"/>
          <w:sz w:val="24"/>
          <w:szCs w:val="24"/>
        </w:rPr>
        <w:t>I. DEUDAS U OBLIGACIONES A FAVOR DEL MINISTERIO DE MINAS Y ENERGÍA</w:t>
      </w:r>
    </w:p>
    <w:p w14:paraId="24FFF145" w14:textId="09D13534" w:rsidR="00DE7CE6" w:rsidRPr="00E81B35" w:rsidRDefault="48EE20A5" w:rsidP="0C465A4C">
      <w:pPr>
        <w:spacing w:line="276" w:lineRule="auto"/>
        <w:jc w:val="both"/>
      </w:pPr>
      <w:r w:rsidRPr="544F0F6E">
        <w:rPr>
          <w:rFonts w:ascii="Arial" w:eastAsia="Arial" w:hAnsi="Arial" w:cs="Arial"/>
          <w:color w:val="000000" w:themeColor="text1"/>
          <w:sz w:val="24"/>
          <w:szCs w:val="24"/>
        </w:rPr>
        <w:t xml:space="preserve">Que la subdirección de talento humano remitió a este despacho solicitud para dar inicio a declarar una obligación a favor del ministerio de Minas y Energía conforme las funciones establecidas, para exfuncionarios que no han dado cumplimiento al pago de la tarifa de aportes al sistema general de pensiones que se redujo del 16 % al 3 % durante los meses de abril y mayo de 2020 con ocasión a la pandemia originada por el coronavirus - COVID 19 según el Decreto 417 del 17 de marzo de 2020.  </w:t>
      </w:r>
      <w:r w:rsidRPr="544F0F6E">
        <w:rPr>
          <w:rFonts w:ascii="Arial" w:eastAsia="Arial" w:hAnsi="Arial" w:cs="Arial"/>
          <w:sz w:val="24"/>
          <w:szCs w:val="24"/>
        </w:rPr>
        <w:t xml:space="preserve"> </w:t>
      </w:r>
    </w:p>
    <w:p w14:paraId="1081B7AE" w14:textId="0497428E" w:rsidR="00DE7CE6" w:rsidRPr="00E81B35" w:rsidRDefault="3D2C2096" w:rsidP="0C465A4C">
      <w:pPr>
        <w:spacing w:line="276" w:lineRule="auto"/>
        <w:jc w:val="both"/>
        <w:rPr>
          <w:rFonts w:ascii="Arial" w:eastAsia="Arial" w:hAnsi="Arial" w:cs="Arial"/>
          <w:color w:val="000000" w:themeColor="text1"/>
          <w:sz w:val="24"/>
          <w:szCs w:val="24"/>
          <w:lang w:val="es-ES"/>
        </w:rPr>
      </w:pPr>
      <w:r w:rsidRPr="0C465A4C">
        <w:rPr>
          <w:rFonts w:ascii="Arial" w:eastAsia="Arial" w:hAnsi="Arial" w:cs="Arial"/>
          <w:color w:val="000000" w:themeColor="text1"/>
          <w:sz w:val="24"/>
          <w:szCs w:val="24"/>
        </w:rPr>
        <w:t xml:space="preserve">Que dicha subdirección teniendo en cuenta la normatividad descrita y en especial lo establecido por el artículo 3 de la Resolución No. 40176 de 2024 justificando que, por la declaratoria del Estado de Emergencia Económica, Social y Ecológica en todo el territorio nacional, el Ministerio de Minas y Energía, dio aplicación a lo establecido Decreto Ley 558 del 15 de abril de 2020 por el cual se implementó medidas para disminuir temporalmente la cotización al Sistema General en Pensiones. </w:t>
      </w:r>
    </w:p>
    <w:p w14:paraId="5702FB82" w14:textId="3C25B623" w:rsidR="00DE7CE6" w:rsidRPr="00E81B35" w:rsidRDefault="3D2C2096" w:rsidP="0C465A4C">
      <w:pPr>
        <w:spacing w:line="276" w:lineRule="auto"/>
        <w:jc w:val="both"/>
        <w:rPr>
          <w:rFonts w:ascii="Arial" w:eastAsia="Arial" w:hAnsi="Arial" w:cs="Arial"/>
          <w:color w:val="000000" w:themeColor="text1"/>
          <w:sz w:val="24"/>
          <w:szCs w:val="24"/>
          <w:lang w:val="es-ES"/>
        </w:rPr>
      </w:pPr>
      <w:r w:rsidRPr="0C465A4C">
        <w:rPr>
          <w:rFonts w:ascii="Arial" w:eastAsia="Arial" w:hAnsi="Arial" w:cs="Arial"/>
          <w:color w:val="000000" w:themeColor="text1"/>
          <w:sz w:val="24"/>
          <w:szCs w:val="24"/>
        </w:rPr>
        <w:t xml:space="preserve">Que de acuerdo a que la Corte Constitucional mediante Sentencia C-258 de 2020, declaró inexequible el Decreto Ley 558 del 15 de abril de 2020 y en su defecto expidió el Decreto 376 del 19 de abril de 2021 por el cual se adiciona en el Capítulo 5 al Título 3 de la Parte del Libro 2 del Decreto 1833 de 2016, a efectos de implementar medidas para realizar el pago de las cotizaciones al Sistema General de Pensiones, ordenando el pago de los faltantes al aporte de pensión por los periodos abril y mayo de 2020, dando un plazo para realizar dicho pago hasta el 30 de junio de 2024. </w:t>
      </w:r>
    </w:p>
    <w:p w14:paraId="5DA6C8C8" w14:textId="256063DE" w:rsidR="00DE7CE6" w:rsidRPr="00E81B35" w:rsidRDefault="3D2C2096" w:rsidP="0C465A4C">
      <w:pPr>
        <w:spacing w:line="240" w:lineRule="atLeast"/>
        <w:ind w:right="-283"/>
        <w:jc w:val="both"/>
        <w:rPr>
          <w:rFonts w:ascii="Arial" w:eastAsia="Arial" w:hAnsi="Arial" w:cs="Arial"/>
          <w:color w:val="000000" w:themeColor="text1"/>
          <w:sz w:val="24"/>
          <w:szCs w:val="24"/>
          <w:lang w:val="es-ES"/>
        </w:rPr>
      </w:pPr>
      <w:r w:rsidRPr="0C465A4C">
        <w:rPr>
          <w:rFonts w:ascii="Arial" w:eastAsia="Arial" w:hAnsi="Arial" w:cs="Arial"/>
          <w:color w:val="000000" w:themeColor="text1"/>
          <w:sz w:val="24"/>
          <w:szCs w:val="24"/>
        </w:rPr>
        <w:t xml:space="preserve">Que de conformidad con el artículo 2, numeral 15, de la Resolución MME 40548 de 2019, en la forma en que fue modificada por Resolución MME 40408 del 30 de septiembre de 2024, se delegó al </w:t>
      </w:r>
      <w:r w:rsidR="00996C8A" w:rsidRPr="0C465A4C">
        <w:rPr>
          <w:rFonts w:ascii="Arial" w:eastAsia="Arial" w:hAnsi="Arial" w:cs="Arial"/>
          <w:color w:val="000000" w:themeColor="text1"/>
          <w:sz w:val="24"/>
          <w:szCs w:val="24"/>
        </w:rPr>
        <w:t>secretario general</w:t>
      </w:r>
      <w:r w:rsidRPr="0C465A4C">
        <w:rPr>
          <w:rFonts w:ascii="Arial" w:eastAsia="Arial" w:hAnsi="Arial" w:cs="Arial"/>
          <w:color w:val="000000" w:themeColor="text1"/>
          <w:sz w:val="24"/>
          <w:szCs w:val="24"/>
        </w:rPr>
        <w:t xml:space="preserve"> del Ministerio de Minas y Energía: </w:t>
      </w:r>
      <w:r w:rsidRPr="0C465A4C">
        <w:rPr>
          <w:rFonts w:ascii="Arial" w:eastAsia="Arial" w:hAnsi="Arial" w:cs="Arial"/>
          <w:i/>
          <w:iCs/>
          <w:color w:val="000000" w:themeColor="text1"/>
          <w:sz w:val="24"/>
          <w:szCs w:val="24"/>
        </w:rPr>
        <w:t>“Proferir los actos administrativos que declaran deudas u obligaciones a favor del Ministerio de Minas y Energía, tal y como lo dispone el artículo 99 de la Ley 1437 de 2011 o la norma que lo modifique o sustituya."</w:t>
      </w:r>
    </w:p>
    <w:p w14:paraId="7C68BC6E" w14:textId="327DCB05" w:rsidR="00DE7CE6" w:rsidRPr="00E81B35" w:rsidRDefault="3D2C2096" w:rsidP="0C465A4C">
      <w:pPr>
        <w:spacing w:line="240" w:lineRule="atLeast"/>
        <w:ind w:right="-283"/>
        <w:jc w:val="both"/>
        <w:rPr>
          <w:rFonts w:ascii="Arial" w:eastAsia="Arial" w:hAnsi="Arial" w:cs="Arial"/>
          <w:color w:val="000000" w:themeColor="text1"/>
          <w:sz w:val="24"/>
          <w:szCs w:val="24"/>
          <w:lang w:val="es-ES"/>
        </w:rPr>
      </w:pPr>
      <w:r w:rsidRPr="0C465A4C">
        <w:rPr>
          <w:rFonts w:ascii="Arial" w:eastAsia="Arial" w:hAnsi="Arial" w:cs="Arial"/>
          <w:color w:val="000000" w:themeColor="text1"/>
          <w:sz w:val="24"/>
          <w:szCs w:val="24"/>
        </w:rPr>
        <w:lastRenderedPageBreak/>
        <w:t>Que al artículo 99, numeral 1, de la Ley 1437 de 2011 señala que prestarán mérito ejecutivo para su cobro coactivo, siempre que en ellos conste una obligación clara, expresa y exigible, todo acto administrativo ejecutoriado que imponga a favor de las entidades públicas a las que alude el parágrafo del artículo 104, la obligación de pagar una suma líquida de dinero, en los casos previstos en la ley.</w:t>
      </w:r>
    </w:p>
    <w:p w14:paraId="06D87264" w14:textId="179D855F" w:rsidR="00DE7CE6" w:rsidRPr="00E81B35" w:rsidRDefault="00DE7CE6" w:rsidP="0C465A4C">
      <w:pPr>
        <w:ind w:right="-283"/>
        <w:jc w:val="both"/>
        <w:rPr>
          <w:rFonts w:ascii="Arial" w:eastAsia="Arial" w:hAnsi="Arial" w:cs="Arial"/>
          <w:color w:val="000000" w:themeColor="text1"/>
          <w:sz w:val="24"/>
          <w:szCs w:val="24"/>
          <w:lang w:val="es-ES"/>
        </w:rPr>
      </w:pPr>
    </w:p>
    <w:p w14:paraId="014D4E3A" w14:textId="33DECF46" w:rsidR="0033291D" w:rsidRPr="0033291D" w:rsidRDefault="3D2C2096" w:rsidP="0C465A4C">
      <w:pPr>
        <w:ind w:right="-283"/>
        <w:jc w:val="both"/>
        <w:rPr>
          <w:rFonts w:ascii="Arial" w:eastAsia="Arial" w:hAnsi="Arial" w:cs="Arial"/>
          <w:b/>
          <w:bCs/>
          <w:color w:val="000000" w:themeColor="text1"/>
          <w:sz w:val="24"/>
          <w:szCs w:val="24"/>
        </w:rPr>
      </w:pPr>
      <w:r w:rsidRPr="0C465A4C">
        <w:rPr>
          <w:rFonts w:ascii="Arial" w:eastAsia="Arial" w:hAnsi="Arial" w:cs="Arial"/>
          <w:b/>
          <w:bCs/>
          <w:color w:val="000000" w:themeColor="text1"/>
          <w:sz w:val="24"/>
          <w:szCs w:val="24"/>
        </w:rPr>
        <w:t>II. LIQUIDACIÓN DE LA DEUDA</w:t>
      </w:r>
    </w:p>
    <w:p w14:paraId="7A620ADD" w14:textId="6FA8B6E7" w:rsidR="00DE7CE6" w:rsidRPr="00E81B35" w:rsidRDefault="00DE7CE6" w:rsidP="0C465A4C">
      <w:pPr>
        <w:ind w:right="-283"/>
        <w:jc w:val="both"/>
        <w:rPr>
          <w:rFonts w:ascii="Arial" w:eastAsia="Arial" w:hAnsi="Arial" w:cs="Arial"/>
          <w:color w:val="000000" w:themeColor="text1"/>
          <w:sz w:val="24"/>
          <w:szCs w:val="24"/>
          <w:lang w:val="es-ES"/>
        </w:rPr>
      </w:pPr>
    </w:p>
    <w:p w14:paraId="13E94D77" w14:textId="05C276B7" w:rsidR="00AD7113" w:rsidRDefault="3D2C2096" w:rsidP="1E0ABF73">
      <w:pPr>
        <w:spacing w:line="276" w:lineRule="auto"/>
        <w:jc w:val="both"/>
        <w:rPr>
          <w:rFonts w:ascii="Arial" w:eastAsia="Arial" w:hAnsi="Arial" w:cs="Arial"/>
          <w:color w:val="000000" w:themeColor="text1"/>
          <w:sz w:val="24"/>
          <w:szCs w:val="24"/>
        </w:rPr>
      </w:pPr>
      <w:r w:rsidRPr="1E0ABF73">
        <w:rPr>
          <w:rFonts w:ascii="Arial" w:eastAsia="Arial" w:hAnsi="Arial" w:cs="Arial"/>
          <w:color w:val="000000" w:themeColor="text1"/>
          <w:sz w:val="24"/>
          <w:szCs w:val="24"/>
        </w:rPr>
        <w:t>Que</w:t>
      </w:r>
      <w:r w:rsidR="0033291D">
        <w:rPr>
          <w:rFonts w:ascii="Arial" w:eastAsia="Arial" w:hAnsi="Arial" w:cs="Arial"/>
          <w:color w:val="000000" w:themeColor="text1"/>
          <w:sz w:val="24"/>
          <w:szCs w:val="24"/>
        </w:rPr>
        <w:t>,</w:t>
      </w:r>
      <w:r w:rsidRPr="1E0ABF73">
        <w:rPr>
          <w:rFonts w:ascii="Arial" w:eastAsia="Arial" w:hAnsi="Arial" w:cs="Arial"/>
          <w:color w:val="000000" w:themeColor="text1"/>
          <w:sz w:val="24"/>
          <w:szCs w:val="24"/>
        </w:rPr>
        <w:t xml:space="preserve"> en aras de dar cumplimiento a lo ordenado, dicha subdirección, realizo los trámites tendientes a liquidar y pagar la diferencia correspondiente a los aportes a seguridad social en pensiones de los funcionarios que al momento de la expedición del Decreto Ley 558 de 2020 se acogieron al mismo, tal como se detalla en la Resolución No. 40176 de fecha 27 de mayo de 2024. </w:t>
      </w:r>
      <w:proofErr w:type="gramStart"/>
      <w:r w:rsidRPr="1E0ABF73">
        <w:rPr>
          <w:rFonts w:ascii="Arial" w:eastAsia="Arial" w:hAnsi="Arial" w:cs="Arial"/>
          <w:color w:val="000000" w:themeColor="text1"/>
          <w:sz w:val="24"/>
          <w:szCs w:val="24"/>
        </w:rPr>
        <w:t xml:space="preserve">“ </w:t>
      </w:r>
      <w:r w:rsidRPr="004A0BEB">
        <w:rPr>
          <w:rFonts w:ascii="Arial" w:eastAsia="Arial" w:hAnsi="Arial" w:cs="Arial"/>
          <w:i/>
          <w:iCs/>
          <w:color w:val="000000" w:themeColor="text1"/>
          <w:sz w:val="24"/>
          <w:szCs w:val="24"/>
        </w:rPr>
        <w:t>Por</w:t>
      </w:r>
      <w:proofErr w:type="gramEnd"/>
      <w:r w:rsidRPr="004A0BEB">
        <w:rPr>
          <w:rFonts w:ascii="Arial" w:eastAsia="Arial" w:hAnsi="Arial" w:cs="Arial"/>
          <w:i/>
          <w:iCs/>
          <w:color w:val="000000" w:themeColor="text1"/>
          <w:sz w:val="24"/>
          <w:szCs w:val="24"/>
        </w:rPr>
        <w:t xml:space="preserve"> la cual se autoriza pago por ajuste de aportes de la seguridad social en pensiones a través de la figura Pago de Pasivos Exigibles Vigencias Expiradas al Sistema General de Pensiones</w:t>
      </w:r>
      <w:r w:rsidRPr="1E0ABF73">
        <w:rPr>
          <w:rFonts w:ascii="Arial" w:eastAsia="Arial" w:hAnsi="Arial" w:cs="Arial"/>
          <w:color w:val="000000" w:themeColor="text1"/>
          <w:sz w:val="24"/>
          <w:szCs w:val="24"/>
        </w:rPr>
        <w:t xml:space="preserve">.” De esta forma, el Ministerio procedió a realizar el pago del 75% a cargo del empleador, así como el pago del 25% restante a cargo del trabajador dada </w:t>
      </w:r>
      <w:r w:rsidR="00A814C8">
        <w:rPr>
          <w:rFonts w:ascii="Arial" w:eastAsia="Arial" w:hAnsi="Arial" w:cs="Arial"/>
          <w:color w:val="000000" w:themeColor="text1"/>
          <w:sz w:val="24"/>
          <w:szCs w:val="24"/>
        </w:rPr>
        <w:t>la</w:t>
      </w:r>
      <w:r w:rsidRPr="1E0ABF73">
        <w:rPr>
          <w:rFonts w:ascii="Arial" w:eastAsia="Arial" w:hAnsi="Arial" w:cs="Arial"/>
          <w:color w:val="000000" w:themeColor="text1"/>
          <w:sz w:val="24"/>
          <w:szCs w:val="24"/>
        </w:rPr>
        <w:t xml:space="preserve"> desvinculación de la entidad</w:t>
      </w:r>
      <w:r w:rsidR="00A814C8">
        <w:rPr>
          <w:rFonts w:ascii="Arial" w:eastAsia="Arial" w:hAnsi="Arial" w:cs="Arial"/>
          <w:color w:val="000000" w:themeColor="text1"/>
          <w:sz w:val="24"/>
          <w:szCs w:val="24"/>
        </w:rPr>
        <w:t>,</w:t>
      </w:r>
      <w:r w:rsidRPr="1E0ABF73">
        <w:rPr>
          <w:rFonts w:ascii="Arial" w:eastAsia="Arial" w:hAnsi="Arial" w:cs="Arial"/>
          <w:color w:val="000000" w:themeColor="text1"/>
          <w:sz w:val="24"/>
          <w:szCs w:val="24"/>
        </w:rPr>
        <w:t xml:space="preserve"> dentro de los términos previstos legalmente</w:t>
      </w:r>
      <w:r w:rsidR="002E7087">
        <w:rPr>
          <w:rFonts w:ascii="Arial" w:eastAsia="Arial" w:hAnsi="Arial" w:cs="Arial"/>
          <w:color w:val="000000" w:themeColor="text1"/>
          <w:sz w:val="24"/>
          <w:szCs w:val="24"/>
        </w:rPr>
        <w:t>.</w:t>
      </w:r>
    </w:p>
    <w:p w14:paraId="3C156E5B" w14:textId="77777777" w:rsidR="0009258E" w:rsidRDefault="00AD7113" w:rsidP="1E0ABF73">
      <w:pPr>
        <w:spacing w:line="276" w:lineRule="auto"/>
        <w:jc w:val="both"/>
        <w:rPr>
          <w:rFonts w:ascii="Arial" w:eastAsia="Arial" w:hAnsi="Arial" w:cs="Arial"/>
          <w:color w:val="000000" w:themeColor="text1"/>
          <w:sz w:val="24"/>
          <w:szCs w:val="24"/>
        </w:rPr>
      </w:pPr>
      <w:r>
        <w:rPr>
          <w:rFonts w:ascii="Arial" w:eastAsia="Arial" w:hAnsi="Arial" w:cs="Arial"/>
          <w:color w:val="000000" w:themeColor="text1"/>
          <w:sz w:val="24"/>
          <w:szCs w:val="24"/>
        </w:rPr>
        <w:t xml:space="preserve">Conforme a lo anterior, </w:t>
      </w:r>
      <w:r w:rsidR="3D2C2096" w:rsidRPr="1E0ABF73">
        <w:rPr>
          <w:rFonts w:ascii="Arial" w:eastAsia="Arial" w:hAnsi="Arial" w:cs="Arial"/>
          <w:color w:val="000000" w:themeColor="text1"/>
          <w:sz w:val="24"/>
          <w:szCs w:val="24"/>
        </w:rPr>
        <w:t xml:space="preserve">a la fecha la señora </w:t>
      </w:r>
      <w:r w:rsidR="0FAE9D15" w:rsidRPr="1E0ABF73">
        <w:rPr>
          <w:rFonts w:ascii="Arial" w:eastAsia="Times New Roman" w:hAnsi="Arial" w:cs="Arial"/>
          <w:b/>
          <w:bCs/>
          <w:lang w:eastAsia="es-CO"/>
        </w:rPr>
        <w:t>MARTHA MILENA BOADA TORRES</w:t>
      </w:r>
      <w:r w:rsidR="3D2C2096" w:rsidRPr="1E0ABF73">
        <w:rPr>
          <w:rFonts w:ascii="Arial" w:eastAsia="Arial" w:hAnsi="Arial" w:cs="Arial"/>
          <w:color w:val="000000" w:themeColor="text1"/>
          <w:sz w:val="24"/>
          <w:szCs w:val="24"/>
        </w:rPr>
        <w:t xml:space="preserve"> adeuda los siguientes valores por concepto de pago de los faltantes del aporte al Sistema General de Pensiones abril y mayo de 2020,</w:t>
      </w:r>
      <w:r w:rsidR="0009258E">
        <w:rPr>
          <w:rFonts w:ascii="Arial" w:eastAsia="Arial" w:hAnsi="Arial" w:cs="Arial"/>
          <w:color w:val="000000" w:themeColor="text1"/>
          <w:sz w:val="24"/>
          <w:szCs w:val="24"/>
        </w:rPr>
        <w:t xml:space="preserve"> así: </w:t>
      </w:r>
    </w:p>
    <w:tbl>
      <w:tblPr>
        <w:tblW w:w="0" w:type="auto"/>
        <w:tblCellMar>
          <w:left w:w="70" w:type="dxa"/>
          <w:right w:w="70" w:type="dxa"/>
        </w:tblCellMar>
        <w:tblLook w:val="04A0" w:firstRow="1" w:lastRow="0" w:firstColumn="1" w:lastColumn="0" w:noHBand="0" w:noVBand="1"/>
      </w:tblPr>
      <w:tblGrid>
        <w:gridCol w:w="2839"/>
        <w:gridCol w:w="1336"/>
        <w:gridCol w:w="2302"/>
        <w:gridCol w:w="2351"/>
      </w:tblGrid>
      <w:tr w:rsidR="00C37BB1" w:rsidRPr="00C37BB1" w14:paraId="162E184D" w14:textId="77777777" w:rsidTr="00A669F2">
        <w:trPr>
          <w:trHeight w:val="550"/>
        </w:trPr>
        <w:tc>
          <w:tcPr>
            <w:tcW w:w="0" w:type="auto"/>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7A7CEA80" w14:textId="77777777" w:rsidR="00C37BB1" w:rsidRPr="00C37BB1" w:rsidRDefault="00C37BB1" w:rsidP="00C37BB1">
            <w:pPr>
              <w:spacing w:after="0" w:line="240" w:lineRule="auto"/>
              <w:jc w:val="center"/>
              <w:rPr>
                <w:rFonts w:ascii="Arial Narrow" w:eastAsia="Times New Roman" w:hAnsi="Arial Narrow" w:cs="Calibri"/>
                <w:b/>
                <w:bCs/>
                <w:color w:val="000000"/>
                <w:kern w:val="0"/>
                <w:sz w:val="20"/>
                <w:szCs w:val="20"/>
                <w:lang w:eastAsia="es-CO"/>
                <w14:ligatures w14:val="none"/>
              </w:rPr>
            </w:pPr>
            <w:r w:rsidRPr="00C37BB1">
              <w:rPr>
                <w:rFonts w:ascii="Arial Narrow" w:eastAsia="Times New Roman" w:hAnsi="Arial Narrow" w:cs="Calibri"/>
                <w:b/>
                <w:bCs/>
                <w:color w:val="000000"/>
                <w:kern w:val="0"/>
                <w:sz w:val="20"/>
                <w:szCs w:val="20"/>
                <w:lang w:eastAsia="es-CO"/>
                <w14:ligatures w14:val="none"/>
              </w:rPr>
              <w:t>Nombre</w:t>
            </w:r>
          </w:p>
        </w:tc>
        <w:tc>
          <w:tcPr>
            <w:tcW w:w="0" w:type="auto"/>
            <w:tcBorders>
              <w:top w:val="single" w:sz="4" w:space="0" w:color="auto"/>
              <w:left w:val="nil"/>
              <w:bottom w:val="single" w:sz="4" w:space="0" w:color="auto"/>
              <w:right w:val="single" w:sz="4" w:space="0" w:color="auto"/>
            </w:tcBorders>
            <w:shd w:val="clear" w:color="000000" w:fill="D9E1F2"/>
            <w:vAlign w:val="center"/>
            <w:hideMark/>
          </w:tcPr>
          <w:p w14:paraId="253D1B0D" w14:textId="77777777" w:rsidR="00C37BB1" w:rsidRPr="00C37BB1" w:rsidRDefault="00C37BB1" w:rsidP="00C37BB1">
            <w:pPr>
              <w:spacing w:after="0" w:line="240" w:lineRule="auto"/>
              <w:jc w:val="center"/>
              <w:rPr>
                <w:rFonts w:ascii="Arial Narrow" w:eastAsia="Times New Roman" w:hAnsi="Arial Narrow" w:cs="Calibri"/>
                <w:b/>
                <w:bCs/>
                <w:color w:val="000000"/>
                <w:kern w:val="0"/>
                <w:sz w:val="20"/>
                <w:szCs w:val="20"/>
                <w:lang w:eastAsia="es-CO"/>
                <w14:ligatures w14:val="none"/>
              </w:rPr>
            </w:pPr>
            <w:r w:rsidRPr="00C37BB1">
              <w:rPr>
                <w:rFonts w:ascii="Arial Narrow" w:eastAsia="Times New Roman" w:hAnsi="Arial Narrow" w:cs="Calibri"/>
                <w:b/>
                <w:bCs/>
                <w:color w:val="000000"/>
                <w:kern w:val="0"/>
                <w:sz w:val="20"/>
                <w:szCs w:val="20"/>
                <w:lang w:eastAsia="es-CO"/>
                <w14:ligatures w14:val="none"/>
              </w:rPr>
              <w:t>Valor adeudado</w:t>
            </w:r>
          </w:p>
        </w:tc>
        <w:tc>
          <w:tcPr>
            <w:tcW w:w="0" w:type="auto"/>
            <w:tcBorders>
              <w:top w:val="single" w:sz="4" w:space="0" w:color="auto"/>
              <w:left w:val="nil"/>
              <w:bottom w:val="single" w:sz="4" w:space="0" w:color="auto"/>
              <w:right w:val="single" w:sz="4" w:space="0" w:color="auto"/>
            </w:tcBorders>
            <w:shd w:val="clear" w:color="000000" w:fill="D9E1F2"/>
            <w:vAlign w:val="center"/>
            <w:hideMark/>
          </w:tcPr>
          <w:p w14:paraId="34438097" w14:textId="0BD51F5C" w:rsidR="00C37BB1" w:rsidRPr="00C37BB1" w:rsidRDefault="00C37BB1" w:rsidP="00C37BB1">
            <w:pPr>
              <w:spacing w:after="0" w:line="240" w:lineRule="auto"/>
              <w:jc w:val="center"/>
              <w:rPr>
                <w:rFonts w:ascii="Arial Narrow" w:eastAsia="Times New Roman" w:hAnsi="Arial Narrow" w:cs="Calibri"/>
                <w:b/>
                <w:bCs/>
                <w:color w:val="000000"/>
                <w:kern w:val="0"/>
                <w:sz w:val="20"/>
                <w:szCs w:val="20"/>
                <w:lang w:eastAsia="es-CO"/>
                <w14:ligatures w14:val="none"/>
              </w:rPr>
            </w:pPr>
            <w:r w:rsidRPr="00C37BB1">
              <w:rPr>
                <w:rFonts w:ascii="Arial Narrow" w:eastAsia="Times New Roman" w:hAnsi="Arial Narrow" w:cs="Calibri"/>
                <w:b/>
                <w:bCs/>
                <w:color w:val="000000"/>
                <w:kern w:val="0"/>
                <w:sz w:val="20"/>
                <w:szCs w:val="20"/>
                <w:lang w:eastAsia="es-CO"/>
                <w14:ligatures w14:val="none"/>
              </w:rPr>
              <w:t xml:space="preserve">Valor </w:t>
            </w:r>
            <w:r w:rsidR="00996C8A" w:rsidRPr="00C37BB1">
              <w:rPr>
                <w:rFonts w:ascii="Arial Narrow" w:eastAsia="Times New Roman" w:hAnsi="Arial Narrow" w:cs="Calibri"/>
                <w:b/>
                <w:bCs/>
                <w:color w:val="000000"/>
                <w:kern w:val="0"/>
                <w:sz w:val="20"/>
                <w:szCs w:val="20"/>
                <w:lang w:eastAsia="es-CO"/>
                <w14:ligatures w14:val="none"/>
              </w:rPr>
              <w:t>interés</w:t>
            </w:r>
            <w:r w:rsidRPr="00C37BB1">
              <w:rPr>
                <w:rFonts w:ascii="Arial Narrow" w:eastAsia="Times New Roman" w:hAnsi="Arial Narrow" w:cs="Calibri"/>
                <w:b/>
                <w:bCs/>
                <w:color w:val="000000"/>
                <w:kern w:val="0"/>
                <w:sz w:val="20"/>
                <w:szCs w:val="20"/>
                <w:lang w:eastAsia="es-CO"/>
                <w14:ligatures w14:val="none"/>
              </w:rPr>
              <w:t xml:space="preserve"> con corte al 15/05/2026</w:t>
            </w:r>
          </w:p>
        </w:tc>
        <w:tc>
          <w:tcPr>
            <w:tcW w:w="0" w:type="auto"/>
            <w:tcBorders>
              <w:top w:val="single" w:sz="4" w:space="0" w:color="auto"/>
              <w:left w:val="nil"/>
              <w:bottom w:val="single" w:sz="4" w:space="0" w:color="auto"/>
              <w:right w:val="single" w:sz="4" w:space="0" w:color="auto"/>
            </w:tcBorders>
            <w:shd w:val="clear" w:color="000000" w:fill="D9E1F2"/>
            <w:vAlign w:val="center"/>
            <w:hideMark/>
          </w:tcPr>
          <w:p w14:paraId="1CA8E38B" w14:textId="77777777" w:rsidR="00C37BB1" w:rsidRPr="00C37BB1" w:rsidRDefault="00C37BB1" w:rsidP="00C37BB1">
            <w:pPr>
              <w:spacing w:after="0" w:line="240" w:lineRule="auto"/>
              <w:jc w:val="center"/>
              <w:rPr>
                <w:rFonts w:ascii="Arial Narrow" w:eastAsia="Times New Roman" w:hAnsi="Arial Narrow" w:cs="Calibri"/>
                <w:b/>
                <w:bCs/>
                <w:color w:val="000000"/>
                <w:kern w:val="0"/>
                <w:sz w:val="20"/>
                <w:szCs w:val="20"/>
                <w:lang w:eastAsia="es-CO"/>
                <w14:ligatures w14:val="none"/>
              </w:rPr>
            </w:pPr>
            <w:proofErr w:type="gramStart"/>
            <w:r w:rsidRPr="00C37BB1">
              <w:rPr>
                <w:rFonts w:ascii="Arial Narrow" w:eastAsia="Times New Roman" w:hAnsi="Arial Narrow" w:cs="Calibri"/>
                <w:b/>
                <w:bCs/>
                <w:color w:val="000000"/>
                <w:kern w:val="0"/>
                <w:sz w:val="20"/>
                <w:szCs w:val="20"/>
                <w:lang w:eastAsia="es-CO"/>
                <w14:ligatures w14:val="none"/>
              </w:rPr>
              <w:t>Total</w:t>
            </w:r>
            <w:proofErr w:type="gramEnd"/>
            <w:r w:rsidRPr="00C37BB1">
              <w:rPr>
                <w:rFonts w:ascii="Arial Narrow" w:eastAsia="Times New Roman" w:hAnsi="Arial Narrow" w:cs="Calibri"/>
                <w:b/>
                <w:bCs/>
                <w:color w:val="000000"/>
                <w:kern w:val="0"/>
                <w:sz w:val="20"/>
                <w:szCs w:val="20"/>
                <w:lang w:eastAsia="es-CO"/>
                <w14:ligatures w14:val="none"/>
              </w:rPr>
              <w:t xml:space="preserve"> deuda con corte a 15/05/2026</w:t>
            </w:r>
          </w:p>
        </w:tc>
      </w:tr>
      <w:tr w:rsidR="00C37BB1" w:rsidRPr="00C37BB1" w14:paraId="4C2A001D" w14:textId="77777777" w:rsidTr="00A669F2">
        <w:trPr>
          <w:trHeight w:val="41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166FC6C" w14:textId="77777777" w:rsidR="00C37BB1" w:rsidRPr="00C37BB1" w:rsidRDefault="00C37BB1" w:rsidP="00C37BB1">
            <w:pPr>
              <w:spacing w:after="0" w:line="240" w:lineRule="auto"/>
              <w:jc w:val="center"/>
              <w:rPr>
                <w:rFonts w:ascii="Arial Narrow" w:eastAsia="Times New Roman" w:hAnsi="Arial Narrow" w:cs="Calibri"/>
                <w:color w:val="000000"/>
                <w:kern w:val="0"/>
                <w:sz w:val="20"/>
                <w:szCs w:val="20"/>
                <w:lang w:eastAsia="es-CO"/>
                <w14:ligatures w14:val="none"/>
              </w:rPr>
            </w:pPr>
            <w:r w:rsidRPr="00C37BB1">
              <w:rPr>
                <w:rFonts w:ascii="Arial Narrow" w:eastAsia="Times New Roman" w:hAnsi="Arial Narrow" w:cs="Calibri"/>
                <w:color w:val="000000"/>
                <w:kern w:val="0"/>
                <w:sz w:val="20"/>
                <w:szCs w:val="20"/>
                <w:lang w:eastAsia="es-CO"/>
                <w14:ligatures w14:val="none"/>
              </w:rPr>
              <w:t>BOADA TORRES MARTHA MILENA</w:t>
            </w:r>
          </w:p>
        </w:tc>
        <w:tc>
          <w:tcPr>
            <w:tcW w:w="0" w:type="auto"/>
            <w:tcBorders>
              <w:top w:val="nil"/>
              <w:left w:val="nil"/>
              <w:bottom w:val="single" w:sz="4" w:space="0" w:color="auto"/>
              <w:right w:val="single" w:sz="4" w:space="0" w:color="auto"/>
            </w:tcBorders>
            <w:shd w:val="clear" w:color="000000" w:fill="FFFFFF"/>
            <w:noWrap/>
            <w:vAlign w:val="center"/>
            <w:hideMark/>
          </w:tcPr>
          <w:p w14:paraId="66EE626B" w14:textId="77777777" w:rsidR="00C37BB1" w:rsidRPr="00C37BB1" w:rsidRDefault="00C37BB1" w:rsidP="00C37BB1">
            <w:pPr>
              <w:spacing w:after="0" w:line="240" w:lineRule="auto"/>
              <w:jc w:val="center"/>
              <w:rPr>
                <w:rFonts w:ascii="Arial Narrow" w:eastAsia="Times New Roman" w:hAnsi="Arial Narrow" w:cs="Calibri"/>
                <w:color w:val="000000"/>
                <w:kern w:val="0"/>
                <w:sz w:val="20"/>
                <w:szCs w:val="20"/>
                <w:lang w:eastAsia="es-CO"/>
                <w14:ligatures w14:val="none"/>
              </w:rPr>
            </w:pPr>
            <w:r w:rsidRPr="00C37BB1">
              <w:rPr>
                <w:rFonts w:ascii="Arial Narrow" w:eastAsia="Times New Roman" w:hAnsi="Arial Narrow" w:cs="Calibri"/>
                <w:color w:val="000000"/>
                <w:kern w:val="0"/>
                <w:sz w:val="20"/>
                <w:szCs w:val="20"/>
                <w:lang w:eastAsia="es-CO"/>
                <w14:ligatures w14:val="none"/>
              </w:rPr>
              <w:t> $         560.000</w:t>
            </w:r>
          </w:p>
        </w:tc>
        <w:tc>
          <w:tcPr>
            <w:tcW w:w="0" w:type="auto"/>
            <w:tcBorders>
              <w:top w:val="nil"/>
              <w:left w:val="nil"/>
              <w:bottom w:val="single" w:sz="4" w:space="0" w:color="auto"/>
              <w:right w:val="single" w:sz="4" w:space="0" w:color="auto"/>
            </w:tcBorders>
            <w:shd w:val="clear" w:color="000000" w:fill="FFFFFF"/>
            <w:noWrap/>
            <w:vAlign w:val="center"/>
            <w:hideMark/>
          </w:tcPr>
          <w:p w14:paraId="6242A2FF" w14:textId="77777777" w:rsidR="00C37BB1" w:rsidRPr="00C37BB1" w:rsidRDefault="00C37BB1" w:rsidP="00C37BB1">
            <w:pPr>
              <w:spacing w:after="0" w:line="240" w:lineRule="auto"/>
              <w:jc w:val="center"/>
              <w:rPr>
                <w:rFonts w:ascii="Arial Narrow" w:eastAsia="Times New Roman" w:hAnsi="Arial Narrow" w:cs="Calibri"/>
                <w:color w:val="000000"/>
                <w:kern w:val="0"/>
                <w:sz w:val="20"/>
                <w:szCs w:val="20"/>
                <w:lang w:eastAsia="es-CO"/>
                <w14:ligatures w14:val="none"/>
              </w:rPr>
            </w:pPr>
            <w:r w:rsidRPr="00C37BB1">
              <w:rPr>
                <w:rFonts w:ascii="Arial Narrow" w:eastAsia="Times New Roman" w:hAnsi="Arial Narrow" w:cs="Calibri"/>
                <w:color w:val="000000"/>
                <w:kern w:val="0"/>
                <w:sz w:val="20"/>
                <w:szCs w:val="20"/>
                <w:lang w:eastAsia="es-CO"/>
                <w14:ligatures w14:val="none"/>
              </w:rPr>
              <w:t> $          99.307</w:t>
            </w:r>
          </w:p>
        </w:tc>
        <w:tc>
          <w:tcPr>
            <w:tcW w:w="0" w:type="auto"/>
            <w:tcBorders>
              <w:top w:val="nil"/>
              <w:left w:val="nil"/>
              <w:bottom w:val="single" w:sz="4" w:space="0" w:color="auto"/>
              <w:right w:val="single" w:sz="4" w:space="0" w:color="auto"/>
            </w:tcBorders>
            <w:shd w:val="clear" w:color="000000" w:fill="FFFFFF"/>
            <w:noWrap/>
            <w:vAlign w:val="center"/>
            <w:hideMark/>
          </w:tcPr>
          <w:p w14:paraId="31740D2B" w14:textId="77777777" w:rsidR="00C37BB1" w:rsidRPr="00C37BB1" w:rsidRDefault="00C37BB1" w:rsidP="00C37BB1">
            <w:pPr>
              <w:spacing w:after="0" w:line="240" w:lineRule="auto"/>
              <w:jc w:val="center"/>
              <w:rPr>
                <w:rFonts w:ascii="Arial Narrow" w:eastAsia="Times New Roman" w:hAnsi="Arial Narrow" w:cs="Calibri"/>
                <w:color w:val="000000"/>
                <w:kern w:val="0"/>
                <w:sz w:val="20"/>
                <w:szCs w:val="20"/>
                <w:lang w:eastAsia="es-CO"/>
                <w14:ligatures w14:val="none"/>
              </w:rPr>
            </w:pPr>
            <w:r w:rsidRPr="00C37BB1">
              <w:rPr>
                <w:rFonts w:ascii="Arial Narrow" w:eastAsia="Times New Roman" w:hAnsi="Arial Narrow" w:cs="Calibri"/>
                <w:color w:val="000000"/>
                <w:kern w:val="0"/>
                <w:sz w:val="20"/>
                <w:szCs w:val="20"/>
                <w:lang w:eastAsia="es-CO"/>
                <w14:ligatures w14:val="none"/>
              </w:rPr>
              <w:t>$                659.307</w:t>
            </w:r>
          </w:p>
        </w:tc>
      </w:tr>
    </w:tbl>
    <w:p w14:paraId="20F0CF9A" w14:textId="6A132725" w:rsidR="00DE7CE6" w:rsidRPr="00E81B35" w:rsidRDefault="3D2C2096" w:rsidP="0033291D">
      <w:pPr>
        <w:spacing w:line="276" w:lineRule="auto"/>
        <w:jc w:val="both"/>
        <w:rPr>
          <w:rFonts w:ascii="Arial" w:eastAsia="Arial" w:hAnsi="Arial" w:cs="Arial"/>
          <w:color w:val="000000" w:themeColor="text1"/>
          <w:sz w:val="24"/>
          <w:szCs w:val="24"/>
          <w:lang w:val="es-ES"/>
        </w:rPr>
      </w:pPr>
      <w:r w:rsidRPr="1E0ABF73">
        <w:rPr>
          <w:rFonts w:ascii="Arial" w:eastAsia="Arial" w:hAnsi="Arial" w:cs="Arial"/>
          <w:color w:val="000000" w:themeColor="text1"/>
          <w:sz w:val="24"/>
          <w:szCs w:val="24"/>
        </w:rPr>
        <w:t xml:space="preserve"> </w:t>
      </w:r>
    </w:p>
    <w:p w14:paraId="73C40CBE" w14:textId="6F40C464" w:rsidR="00DE7CE6" w:rsidRPr="0033291D" w:rsidRDefault="0033291D" w:rsidP="0033291D">
      <w:pPr>
        <w:spacing w:line="240" w:lineRule="atLeast"/>
        <w:ind w:right="-283"/>
        <w:jc w:val="both"/>
        <w:rPr>
          <w:rFonts w:ascii="Arial" w:eastAsia="Arial" w:hAnsi="Arial" w:cs="Arial"/>
          <w:color w:val="000000" w:themeColor="text1"/>
          <w:sz w:val="24"/>
          <w:szCs w:val="24"/>
          <w:lang w:val="es-ES"/>
        </w:rPr>
      </w:pPr>
      <w:r w:rsidRPr="0033291D">
        <w:rPr>
          <w:rFonts w:ascii="Arial" w:eastAsia="Arial" w:hAnsi="Arial" w:cs="Arial"/>
          <w:b/>
          <w:bCs/>
          <w:color w:val="000000" w:themeColor="text1"/>
          <w:sz w:val="24"/>
          <w:szCs w:val="24"/>
        </w:rPr>
        <w:t xml:space="preserve">III.  </w:t>
      </w:r>
      <w:r w:rsidR="3D2C2096" w:rsidRPr="0033291D">
        <w:rPr>
          <w:rFonts w:ascii="Arial" w:eastAsia="Arial" w:hAnsi="Arial" w:cs="Arial"/>
          <w:b/>
          <w:bCs/>
          <w:color w:val="000000" w:themeColor="text1"/>
          <w:sz w:val="24"/>
          <w:szCs w:val="24"/>
        </w:rPr>
        <w:t>ANTECEDENTES</w:t>
      </w:r>
    </w:p>
    <w:p w14:paraId="65B82D30" w14:textId="2EBFE247" w:rsidR="00DE7CE6" w:rsidRPr="00E81B35" w:rsidRDefault="00DE7CE6" w:rsidP="0C465A4C">
      <w:pPr>
        <w:spacing w:line="240" w:lineRule="atLeast"/>
        <w:ind w:left="1080" w:right="-283"/>
        <w:jc w:val="both"/>
        <w:rPr>
          <w:rFonts w:ascii="Arial" w:eastAsia="Arial" w:hAnsi="Arial" w:cs="Arial"/>
          <w:color w:val="000000" w:themeColor="text1"/>
          <w:sz w:val="24"/>
          <w:szCs w:val="24"/>
          <w:lang w:val="es-ES"/>
        </w:rPr>
      </w:pPr>
    </w:p>
    <w:p w14:paraId="15FCA61E" w14:textId="04158324" w:rsidR="00E27F8B" w:rsidRPr="00B14B09" w:rsidRDefault="00E27F8B" w:rsidP="00E27F8B">
      <w:pPr>
        <w:pStyle w:val="Prrafodelista"/>
        <w:numPr>
          <w:ilvl w:val="0"/>
          <w:numId w:val="9"/>
        </w:numPr>
        <w:spacing w:line="276" w:lineRule="auto"/>
        <w:jc w:val="both"/>
        <w:rPr>
          <w:rFonts w:ascii="Arial" w:eastAsia="Arial" w:hAnsi="Arial" w:cs="Arial"/>
          <w:sz w:val="24"/>
          <w:szCs w:val="24"/>
        </w:rPr>
      </w:pPr>
      <w:r w:rsidRPr="00B14B09">
        <w:rPr>
          <w:rFonts w:ascii="Arial" w:eastAsia="Arial" w:hAnsi="Arial" w:cs="Arial"/>
          <w:sz w:val="24"/>
          <w:szCs w:val="24"/>
        </w:rPr>
        <w:t xml:space="preserve">En el año 2020 a causa de la pandemia originada por el coronavirus SARS-CoV-2-covid 19, el </w:t>
      </w:r>
      <w:r w:rsidR="0033291D" w:rsidRPr="00B14B09">
        <w:rPr>
          <w:rFonts w:ascii="Arial" w:eastAsia="Arial" w:hAnsi="Arial" w:cs="Arial"/>
          <w:sz w:val="24"/>
          <w:szCs w:val="24"/>
        </w:rPr>
        <w:t>presidente</w:t>
      </w:r>
      <w:r w:rsidRPr="00B14B09">
        <w:rPr>
          <w:rFonts w:ascii="Arial" w:eastAsia="Arial" w:hAnsi="Arial" w:cs="Arial"/>
          <w:sz w:val="24"/>
          <w:szCs w:val="24"/>
        </w:rPr>
        <w:t xml:space="preserve"> de la Republica de Colombia declaro el Estado de Emergencia Social y Ecológica en todo el territorio nacional, mediante Decreto 417 del 17 de marzo de 2020.</w:t>
      </w:r>
    </w:p>
    <w:p w14:paraId="187D95E2" w14:textId="77777777" w:rsidR="00E27F8B" w:rsidRPr="00B14B09" w:rsidRDefault="00E27F8B" w:rsidP="00E27F8B">
      <w:pPr>
        <w:pStyle w:val="Prrafodelista"/>
        <w:numPr>
          <w:ilvl w:val="0"/>
          <w:numId w:val="9"/>
        </w:numPr>
        <w:spacing w:line="276" w:lineRule="auto"/>
        <w:jc w:val="both"/>
        <w:rPr>
          <w:rFonts w:ascii="Arial" w:eastAsia="Arial" w:hAnsi="Arial" w:cs="Arial"/>
          <w:sz w:val="24"/>
          <w:szCs w:val="24"/>
        </w:rPr>
      </w:pPr>
      <w:r w:rsidRPr="00B14B09">
        <w:rPr>
          <w:rFonts w:ascii="Arial" w:eastAsia="Arial" w:hAnsi="Arial" w:cs="Arial"/>
          <w:sz w:val="24"/>
          <w:szCs w:val="24"/>
        </w:rPr>
        <w:t>Que como consecuencia de lo anterior expidió el Decreto Ley 558 del 15 de abril de 2020, mediante el cual se implementaron medidas para disminuir temporalmente la cotización al Sistema General de Pensiones, entre otros, permitiendo a los empleadores del sector público y privado y a los trabajadores independientes disminuir de forma opcional, sus aportes al sistema general de pensiones durante los meses de abril y mayo de 2020.</w:t>
      </w:r>
    </w:p>
    <w:p w14:paraId="24EBAF6F" w14:textId="77777777" w:rsidR="00E27F8B" w:rsidRPr="00B14B09" w:rsidRDefault="00E27F8B" w:rsidP="00E27F8B">
      <w:pPr>
        <w:pStyle w:val="Prrafodelista"/>
        <w:numPr>
          <w:ilvl w:val="0"/>
          <w:numId w:val="9"/>
        </w:numPr>
        <w:spacing w:line="276" w:lineRule="auto"/>
        <w:jc w:val="both"/>
        <w:rPr>
          <w:rFonts w:ascii="Arial" w:eastAsia="Arial" w:hAnsi="Arial" w:cs="Arial"/>
          <w:sz w:val="24"/>
          <w:szCs w:val="24"/>
        </w:rPr>
      </w:pPr>
      <w:r w:rsidRPr="00B14B09">
        <w:rPr>
          <w:rFonts w:ascii="Arial" w:eastAsia="Arial" w:hAnsi="Arial" w:cs="Arial"/>
          <w:sz w:val="24"/>
          <w:szCs w:val="24"/>
        </w:rPr>
        <w:t>Que mediante sentencia C-258 de 2020, declaró inexequible el Decreto Le 558 de 2020, con efectos retroactivos, estableciendo en la parte resolutoria en el numeral segundo lo siguiente: “</w:t>
      </w:r>
      <w:r w:rsidRPr="00B14B09">
        <w:rPr>
          <w:rFonts w:ascii="Arial" w:eastAsia="Arial" w:hAnsi="Arial" w:cs="Arial"/>
          <w:i/>
          <w:iCs/>
          <w:sz w:val="24"/>
          <w:szCs w:val="24"/>
        </w:rPr>
        <w:t xml:space="preserve"> ORDENAR al Gobierno nacional que, en ejercicio de sus competencias, adopte e implemente un mecanismo que, en un plazo razonable, (i) permita a empleadores, empleados e independientes, aportar los montos faltantes de las cotizaciones al Sistema General de Pensiones correspondientes a los períodos de abril y mayo del presente año, cuyos pagos se hicieron parcialmente en virtud de lo dispuesto por el Decreto 558 de 2020; y (ii) garantice el restablecimiento de la vinculación a las Sociedades Administradoras de Fondos de Pensiones y </w:t>
      </w:r>
      <w:r w:rsidRPr="00B14B09">
        <w:rPr>
          <w:rFonts w:ascii="Arial" w:eastAsia="Arial" w:hAnsi="Arial" w:cs="Arial"/>
          <w:i/>
          <w:iCs/>
          <w:sz w:val="24"/>
          <w:szCs w:val="24"/>
        </w:rPr>
        <w:lastRenderedPageBreak/>
        <w:t>Cesantías, de los pensionados bajo la modalidad de retiro programado que fueron trasladados a COLPENSIONES en cumplimiento de los dispuesto por el por el Decreto 558 de 2020.”</w:t>
      </w:r>
    </w:p>
    <w:p w14:paraId="00B5EEE0" w14:textId="77777777" w:rsidR="00E27F8B" w:rsidRPr="00B14B09" w:rsidRDefault="00E27F8B" w:rsidP="00E27F8B">
      <w:pPr>
        <w:pStyle w:val="Prrafodelista"/>
        <w:numPr>
          <w:ilvl w:val="0"/>
          <w:numId w:val="9"/>
        </w:numPr>
        <w:spacing w:line="276" w:lineRule="auto"/>
        <w:jc w:val="both"/>
        <w:rPr>
          <w:rFonts w:ascii="Arial" w:eastAsia="Arial" w:hAnsi="Arial" w:cs="Arial"/>
          <w:sz w:val="24"/>
          <w:szCs w:val="24"/>
        </w:rPr>
      </w:pPr>
      <w:r w:rsidRPr="00B14B09">
        <w:rPr>
          <w:rFonts w:ascii="Arial" w:eastAsia="Arial" w:hAnsi="Arial" w:cs="Arial"/>
          <w:sz w:val="24"/>
          <w:szCs w:val="24"/>
        </w:rPr>
        <w:t xml:space="preserve">Que con el fin de dar cumplimiento a la sentencia </w:t>
      </w:r>
      <w:r w:rsidRPr="00B14B09">
        <w:rPr>
          <w:rFonts w:ascii="Arial" w:eastAsia="Arial" w:hAnsi="Arial" w:cs="Arial"/>
          <w:b/>
          <w:bCs/>
          <w:sz w:val="24"/>
          <w:szCs w:val="24"/>
        </w:rPr>
        <w:t xml:space="preserve">C-258 de 2020, </w:t>
      </w:r>
      <w:r w:rsidRPr="00B14B09">
        <w:rPr>
          <w:rFonts w:ascii="Arial" w:eastAsia="Arial" w:hAnsi="Arial" w:cs="Arial"/>
          <w:sz w:val="24"/>
          <w:szCs w:val="24"/>
        </w:rPr>
        <w:t>se expidió el Decreto 376 del 9 de abril de 2021 a efectos de</w:t>
      </w:r>
      <w:r w:rsidRPr="00B14B09">
        <w:rPr>
          <w:rFonts w:ascii="Arial" w:hAnsi="Arial" w:cs="Arial"/>
          <w:sz w:val="24"/>
          <w:szCs w:val="24"/>
        </w:rPr>
        <w:t xml:space="preserve"> i</w:t>
      </w:r>
      <w:r w:rsidRPr="00B14B09">
        <w:rPr>
          <w:rFonts w:ascii="Arial" w:eastAsia="Arial" w:hAnsi="Arial" w:cs="Arial"/>
          <w:sz w:val="24"/>
          <w:szCs w:val="24"/>
        </w:rPr>
        <w:t>mplementar medidas para realizar el pago de las cotizaciones al Sistema General de Pensiones por los periodos correspondientes a abril y mayo de 2020, de los que fueron exonerados los empleadores y trabajadores independientes a través del Decreto Legislativo 558 de 2020.</w:t>
      </w:r>
    </w:p>
    <w:p w14:paraId="5E99A7AB" w14:textId="77777777" w:rsidR="00E27F8B" w:rsidRPr="00B14B09" w:rsidRDefault="00E27F8B" w:rsidP="00E27F8B">
      <w:pPr>
        <w:pStyle w:val="Prrafodelista"/>
        <w:numPr>
          <w:ilvl w:val="0"/>
          <w:numId w:val="9"/>
        </w:numPr>
        <w:spacing w:line="276" w:lineRule="auto"/>
        <w:jc w:val="both"/>
        <w:rPr>
          <w:rFonts w:ascii="Arial" w:eastAsia="Arial" w:hAnsi="Arial" w:cs="Arial"/>
          <w:sz w:val="24"/>
          <w:szCs w:val="24"/>
        </w:rPr>
      </w:pPr>
      <w:r w:rsidRPr="00B14B09">
        <w:rPr>
          <w:rFonts w:ascii="Arial" w:eastAsia="Arial" w:hAnsi="Arial" w:cs="Arial"/>
          <w:sz w:val="24"/>
          <w:szCs w:val="24"/>
        </w:rPr>
        <w:t>Que el Ministerio de Minas y Energía expidió la Resolución 40176 del 27 de mayo de 2024, a través de la cual establece en su artículo primero del resuelve: “</w:t>
      </w:r>
      <w:r w:rsidRPr="00B14B09">
        <w:rPr>
          <w:rFonts w:ascii="Arial" w:eastAsia="Arial" w:hAnsi="Arial" w:cs="Arial"/>
          <w:i/>
          <w:iCs/>
          <w:sz w:val="24"/>
          <w:szCs w:val="24"/>
        </w:rPr>
        <w:t xml:space="preserve">Ordenar a través del gasto “Pago de Pasivos Exigibles – Vigencias Expiradas” el reconocimiento y pago a favor de los fondos de pensiones, que se relacionan a continuación, por concepto de pago de ajuste de aportes a seguridad en pensiones (…)”, </w:t>
      </w:r>
      <w:r w:rsidRPr="00B14B09">
        <w:rPr>
          <w:rFonts w:ascii="Arial" w:eastAsia="Arial" w:hAnsi="Arial" w:cs="Arial"/>
          <w:sz w:val="24"/>
          <w:szCs w:val="24"/>
        </w:rPr>
        <w:t>de conformidad con lo dispuesto en el Art. 2.2.3.5.2 del Decreto Legislativo 376 de 2021.</w:t>
      </w:r>
    </w:p>
    <w:p w14:paraId="47C22FFA" w14:textId="4854A896" w:rsidR="00E27F8B" w:rsidRPr="00B14B09" w:rsidRDefault="00E27F8B" w:rsidP="00E27F8B">
      <w:pPr>
        <w:pStyle w:val="Prrafodelista"/>
        <w:numPr>
          <w:ilvl w:val="0"/>
          <w:numId w:val="9"/>
        </w:numPr>
        <w:spacing w:line="276" w:lineRule="auto"/>
        <w:jc w:val="both"/>
        <w:rPr>
          <w:rFonts w:ascii="Arial" w:eastAsia="Arial" w:hAnsi="Arial" w:cs="Arial"/>
          <w:sz w:val="24"/>
          <w:szCs w:val="24"/>
        </w:rPr>
      </w:pPr>
      <w:r w:rsidRPr="00B14B09">
        <w:rPr>
          <w:rFonts w:ascii="Arial" w:eastAsia="Arial" w:hAnsi="Arial" w:cs="Arial"/>
          <w:sz w:val="24"/>
          <w:szCs w:val="24"/>
        </w:rPr>
        <w:t>Que</w:t>
      </w:r>
      <w:r w:rsidR="0033291D">
        <w:rPr>
          <w:rFonts w:ascii="Arial" w:eastAsia="Arial" w:hAnsi="Arial" w:cs="Arial"/>
          <w:sz w:val="24"/>
          <w:szCs w:val="24"/>
        </w:rPr>
        <w:t>,</w:t>
      </w:r>
      <w:r w:rsidRPr="00B14B09">
        <w:rPr>
          <w:rFonts w:ascii="Arial" w:eastAsia="Arial" w:hAnsi="Arial" w:cs="Arial"/>
          <w:sz w:val="24"/>
          <w:szCs w:val="24"/>
        </w:rPr>
        <w:t xml:space="preserve"> por lo anterior, la Subdirección de Talento Humano de este Ministerio, procedió a hacer las liquidaciones y el pago de la diferencia de aportes a seguridad social en pensiones de los meses de abril y mayo de 2020, de los exfuncionarios. </w:t>
      </w:r>
    </w:p>
    <w:p w14:paraId="7FB75B7D" w14:textId="3E419AF7" w:rsidR="00E27F8B" w:rsidRPr="00923354" w:rsidRDefault="00E27F8B" w:rsidP="00E27F8B">
      <w:pPr>
        <w:pStyle w:val="Prrafodelista"/>
        <w:numPr>
          <w:ilvl w:val="0"/>
          <w:numId w:val="9"/>
        </w:numPr>
        <w:spacing w:line="276" w:lineRule="auto"/>
        <w:jc w:val="both"/>
        <w:rPr>
          <w:rFonts w:ascii="Arial" w:eastAsia="Times New Roman" w:hAnsi="Arial" w:cs="Arial"/>
          <w:sz w:val="24"/>
          <w:szCs w:val="24"/>
          <w:lang w:eastAsia="es-CO"/>
        </w:rPr>
      </w:pPr>
      <w:r w:rsidRPr="00923354">
        <w:rPr>
          <w:rFonts w:ascii="Arial" w:eastAsia="Arial" w:hAnsi="Arial" w:cs="Arial"/>
          <w:sz w:val="24"/>
          <w:szCs w:val="24"/>
        </w:rPr>
        <w:t>Que mediante comunicación 2-2024-</w:t>
      </w:r>
      <w:r w:rsidR="000B34AA" w:rsidRPr="00923354">
        <w:rPr>
          <w:rFonts w:ascii="Arial" w:eastAsia="Arial" w:hAnsi="Arial" w:cs="Arial"/>
          <w:sz w:val="24"/>
          <w:szCs w:val="24"/>
        </w:rPr>
        <w:t>028277</w:t>
      </w:r>
      <w:r w:rsidRPr="00923354">
        <w:rPr>
          <w:rFonts w:ascii="Arial" w:eastAsia="Arial" w:hAnsi="Arial" w:cs="Arial"/>
          <w:sz w:val="24"/>
          <w:szCs w:val="24"/>
        </w:rPr>
        <w:t xml:space="preserve"> del </w:t>
      </w:r>
      <w:r w:rsidR="00A3412A" w:rsidRPr="00923354">
        <w:rPr>
          <w:rFonts w:ascii="Arial" w:eastAsia="Arial" w:hAnsi="Arial" w:cs="Arial"/>
          <w:sz w:val="24"/>
          <w:szCs w:val="24"/>
        </w:rPr>
        <w:t>22 de agosto</w:t>
      </w:r>
      <w:r w:rsidRPr="00923354">
        <w:rPr>
          <w:rFonts w:ascii="Arial" w:eastAsia="Arial" w:hAnsi="Arial" w:cs="Arial"/>
          <w:sz w:val="24"/>
          <w:szCs w:val="24"/>
        </w:rPr>
        <w:t xml:space="preserve"> de 2024, la Subdirección de Talento Humano, procedió a informar a la señora </w:t>
      </w:r>
      <w:r w:rsidR="00A3412A" w:rsidRPr="00923354">
        <w:rPr>
          <w:rFonts w:ascii="Arial" w:eastAsia="Times New Roman" w:hAnsi="Arial" w:cs="Arial"/>
          <w:b/>
          <w:bCs/>
          <w:shd w:val="clear" w:color="auto" w:fill="FFFFFF"/>
          <w:lang w:val="es-ES" w:eastAsia="es-CO"/>
        </w:rPr>
        <w:t>MARTHA MILENA BOADA TORRES</w:t>
      </w:r>
      <w:r w:rsidRPr="00923354">
        <w:rPr>
          <w:rFonts w:ascii="Arial" w:hAnsi="Arial" w:cs="Arial"/>
          <w:sz w:val="24"/>
          <w:szCs w:val="24"/>
        </w:rPr>
        <w:t xml:space="preserve">, identificada con cedula de ciudadanía No. </w:t>
      </w:r>
      <w:r w:rsidR="00B8699E" w:rsidRPr="00923354">
        <w:rPr>
          <w:rFonts w:ascii="Arial" w:eastAsia="Times New Roman" w:hAnsi="Arial" w:cs="Arial"/>
          <w:shd w:val="clear" w:color="auto" w:fill="FFFFFF"/>
          <w:lang w:val="es-ES" w:eastAsia="es-CO"/>
        </w:rPr>
        <w:t>30</w:t>
      </w:r>
      <w:r w:rsidR="00B8699E" w:rsidRPr="00923354">
        <w:rPr>
          <w:rFonts w:ascii="Arial" w:eastAsia="Times New Roman" w:hAnsi="Arial" w:cs="Arial"/>
          <w:shd w:val="clear" w:color="auto" w:fill="FFFFFF"/>
          <w:lang w:val="es-ES" w:eastAsia="es-CO"/>
        </w:rPr>
        <w:t>.</w:t>
      </w:r>
      <w:r w:rsidR="00B8699E" w:rsidRPr="00923354">
        <w:rPr>
          <w:rFonts w:ascii="Arial" w:eastAsia="Times New Roman" w:hAnsi="Arial" w:cs="Arial"/>
          <w:shd w:val="clear" w:color="auto" w:fill="FFFFFF"/>
          <w:lang w:val="es-ES" w:eastAsia="es-CO"/>
        </w:rPr>
        <w:t>050</w:t>
      </w:r>
      <w:r w:rsidR="00B8699E" w:rsidRPr="00923354">
        <w:rPr>
          <w:rFonts w:ascii="Arial" w:eastAsia="Times New Roman" w:hAnsi="Arial" w:cs="Arial"/>
          <w:shd w:val="clear" w:color="auto" w:fill="FFFFFF"/>
          <w:lang w:val="es-ES" w:eastAsia="es-CO"/>
        </w:rPr>
        <w:t>.</w:t>
      </w:r>
      <w:r w:rsidR="00B8699E" w:rsidRPr="00923354">
        <w:rPr>
          <w:rFonts w:ascii="Arial" w:eastAsia="Times New Roman" w:hAnsi="Arial" w:cs="Arial"/>
          <w:shd w:val="clear" w:color="auto" w:fill="FFFFFF"/>
          <w:lang w:val="es-ES" w:eastAsia="es-CO"/>
        </w:rPr>
        <w:t>924</w:t>
      </w:r>
      <w:r w:rsidRPr="00923354">
        <w:rPr>
          <w:rFonts w:ascii="Arial" w:eastAsia="Times New Roman" w:hAnsi="Arial" w:cs="Arial"/>
          <w:sz w:val="24"/>
          <w:szCs w:val="24"/>
          <w:shd w:val="clear" w:color="auto" w:fill="FFFFFF"/>
          <w:lang w:val="es-ES" w:eastAsia="es-CO"/>
        </w:rPr>
        <w:t>,</w:t>
      </w:r>
      <w:r w:rsidRPr="00923354">
        <w:rPr>
          <w:rFonts w:ascii="Arial" w:eastAsia="Arial" w:hAnsi="Arial" w:cs="Arial"/>
          <w:sz w:val="24"/>
          <w:szCs w:val="24"/>
        </w:rPr>
        <w:t xml:space="preserve"> las condiciones de los pagos efectuados, realizando el cobro persuasivo de los valores faltantes de la cotización al sistema general de pensiones de los meses de abril y mayo de 2020.</w:t>
      </w:r>
      <w:r w:rsidRPr="00923354">
        <w:rPr>
          <w:rFonts w:ascii="Arial" w:eastAsia="Times New Roman" w:hAnsi="Arial" w:cs="Arial"/>
          <w:sz w:val="24"/>
          <w:szCs w:val="24"/>
          <w:lang w:eastAsia="es-CO"/>
        </w:rPr>
        <w:t> </w:t>
      </w:r>
    </w:p>
    <w:p w14:paraId="75E2BAD0" w14:textId="59FD4AAE" w:rsidR="00B8699E" w:rsidRPr="00661D7A" w:rsidRDefault="00661D7A" w:rsidP="00661D7A">
      <w:pPr>
        <w:pStyle w:val="Prrafodelista"/>
        <w:numPr>
          <w:ilvl w:val="0"/>
          <w:numId w:val="9"/>
        </w:numPr>
        <w:spacing w:after="0" w:line="240" w:lineRule="auto"/>
        <w:ind w:left="795"/>
        <w:jc w:val="both"/>
        <w:textAlignment w:val="baseline"/>
        <w:rPr>
          <w:rFonts w:ascii="Arial" w:eastAsia="Arial" w:hAnsi="Arial" w:cs="Arial"/>
          <w:sz w:val="24"/>
          <w:szCs w:val="24"/>
        </w:rPr>
      </w:pPr>
      <w:r w:rsidRPr="009D67EB">
        <w:rPr>
          <w:rFonts w:ascii="Arial" w:eastAsia="Arial" w:hAnsi="Arial" w:cs="Arial"/>
          <w:sz w:val="24"/>
          <w:szCs w:val="24"/>
        </w:rPr>
        <w:t>Posteriormente, mediante comunicación 2-2024-</w:t>
      </w:r>
      <w:r w:rsidR="00923354">
        <w:rPr>
          <w:rFonts w:ascii="Arial" w:eastAsia="Arial" w:hAnsi="Arial" w:cs="Arial"/>
          <w:sz w:val="24"/>
          <w:szCs w:val="24"/>
        </w:rPr>
        <w:t xml:space="preserve">039903 </w:t>
      </w:r>
      <w:r w:rsidRPr="009D67EB">
        <w:rPr>
          <w:rFonts w:ascii="Arial" w:eastAsia="Arial" w:hAnsi="Arial" w:cs="Arial"/>
          <w:sz w:val="24"/>
          <w:szCs w:val="24"/>
        </w:rPr>
        <w:t xml:space="preserve">del </w:t>
      </w:r>
      <w:r w:rsidR="00923354">
        <w:rPr>
          <w:rFonts w:ascii="Arial" w:eastAsia="Arial" w:hAnsi="Arial" w:cs="Arial"/>
          <w:sz w:val="24"/>
          <w:szCs w:val="24"/>
        </w:rPr>
        <w:t>18</w:t>
      </w:r>
      <w:r w:rsidRPr="009D67EB">
        <w:rPr>
          <w:rFonts w:ascii="Arial" w:eastAsia="Arial" w:hAnsi="Arial" w:cs="Arial"/>
          <w:sz w:val="24"/>
          <w:szCs w:val="24"/>
        </w:rPr>
        <w:t xml:space="preserve"> de noviembre de 2024, se reiteró la solicitud de reintegro a los aportes mencionados. </w:t>
      </w:r>
    </w:p>
    <w:p w14:paraId="383DCA2A" w14:textId="0CD1D9F8" w:rsidR="00E27F8B" w:rsidRPr="00B14B09" w:rsidRDefault="00E27F8B" w:rsidP="00E27F8B">
      <w:pPr>
        <w:pStyle w:val="Prrafodelista"/>
        <w:numPr>
          <w:ilvl w:val="0"/>
          <w:numId w:val="9"/>
        </w:numPr>
        <w:spacing w:line="276" w:lineRule="auto"/>
        <w:jc w:val="both"/>
        <w:rPr>
          <w:rFonts w:ascii="Arial" w:eastAsia="Times New Roman" w:hAnsi="Arial" w:cs="Arial"/>
          <w:sz w:val="24"/>
          <w:szCs w:val="24"/>
          <w:lang w:eastAsia="es-CO"/>
        </w:rPr>
      </w:pPr>
      <w:r>
        <w:rPr>
          <w:rFonts w:ascii="Arial" w:eastAsia="Times New Roman" w:hAnsi="Arial" w:cs="Arial"/>
          <w:sz w:val="24"/>
          <w:szCs w:val="24"/>
          <w:lang w:eastAsia="es-CO"/>
        </w:rPr>
        <w:t xml:space="preserve">Que mediante </w:t>
      </w:r>
      <w:r w:rsidRPr="000C6290">
        <w:rPr>
          <w:rFonts w:ascii="Arial" w:eastAsia="Times New Roman" w:hAnsi="Arial" w:cs="Arial"/>
          <w:sz w:val="24"/>
          <w:szCs w:val="24"/>
          <w:lang w:eastAsia="es-CO"/>
        </w:rPr>
        <w:t>Memorando No. 3-2025-008804 con fecha del 3 de marzo de 2025,</w:t>
      </w:r>
      <w:r>
        <w:rPr>
          <w:rFonts w:ascii="Arial" w:eastAsia="Times New Roman" w:hAnsi="Arial" w:cs="Arial"/>
          <w:sz w:val="24"/>
          <w:szCs w:val="24"/>
          <w:lang w:eastAsia="es-CO"/>
        </w:rPr>
        <w:t xml:space="preserve"> la Subdirección de Talento Humano remite la documentación para que se dé inicio al cobro coactivo, teniendo en cuenta que no se ha generado pago por parte de la señora</w:t>
      </w:r>
      <w:r>
        <w:rPr>
          <w:rFonts w:ascii="Arial" w:eastAsia="Times New Roman" w:hAnsi="Arial" w:cs="Arial"/>
          <w:b/>
          <w:bCs/>
          <w:sz w:val="24"/>
          <w:szCs w:val="24"/>
          <w:lang w:eastAsia="es-CO"/>
        </w:rPr>
        <w:t xml:space="preserve"> </w:t>
      </w:r>
      <w:r w:rsidR="00037DF5" w:rsidRPr="1E0ABF73">
        <w:rPr>
          <w:rFonts w:ascii="Arial" w:eastAsia="Times New Roman" w:hAnsi="Arial" w:cs="Arial"/>
          <w:b/>
          <w:bCs/>
          <w:lang w:eastAsia="es-CO"/>
        </w:rPr>
        <w:t>MARTHA MILENA BOADA TORRES</w:t>
      </w:r>
      <w:r>
        <w:rPr>
          <w:rFonts w:ascii="Arial" w:eastAsia="Times New Roman" w:hAnsi="Arial" w:cs="Arial"/>
          <w:b/>
          <w:bCs/>
          <w:sz w:val="24"/>
          <w:szCs w:val="24"/>
          <w:lang w:eastAsia="es-CO"/>
        </w:rPr>
        <w:t>.</w:t>
      </w:r>
    </w:p>
    <w:p w14:paraId="4B2E23DF" w14:textId="77777777" w:rsidR="00037DF5" w:rsidRDefault="00037DF5" w:rsidP="00E36262">
      <w:pPr>
        <w:rPr>
          <w:rFonts w:ascii="Arial" w:eastAsia="Arial" w:hAnsi="Arial" w:cs="Arial"/>
          <w:i/>
          <w:iCs/>
          <w:color w:val="000000" w:themeColor="text1"/>
          <w:sz w:val="24"/>
          <w:szCs w:val="24"/>
        </w:rPr>
      </w:pPr>
    </w:p>
    <w:p w14:paraId="22379FE7" w14:textId="462203A1" w:rsidR="00DE7CE6" w:rsidRPr="00535822" w:rsidRDefault="3D2C2096" w:rsidP="00E36262">
      <w:pPr>
        <w:rPr>
          <w:rFonts w:ascii="Arial" w:eastAsia="Arial" w:hAnsi="Arial" w:cs="Arial"/>
          <w:color w:val="000000" w:themeColor="text1"/>
          <w:sz w:val="24"/>
          <w:szCs w:val="24"/>
          <w:lang w:val="es-ES"/>
        </w:rPr>
      </w:pPr>
      <w:r w:rsidRPr="00535822">
        <w:rPr>
          <w:rFonts w:ascii="Arial" w:eastAsia="Arial" w:hAnsi="Arial" w:cs="Arial"/>
          <w:b/>
          <w:bCs/>
          <w:color w:val="000000" w:themeColor="text1"/>
          <w:sz w:val="24"/>
          <w:szCs w:val="24"/>
        </w:rPr>
        <w:t>I</w:t>
      </w:r>
      <w:r w:rsidR="00535822">
        <w:rPr>
          <w:rFonts w:ascii="Arial" w:eastAsia="Arial" w:hAnsi="Arial" w:cs="Arial"/>
          <w:b/>
          <w:bCs/>
          <w:color w:val="000000" w:themeColor="text1"/>
          <w:sz w:val="24"/>
          <w:szCs w:val="24"/>
        </w:rPr>
        <w:t>V</w:t>
      </w:r>
      <w:r w:rsidRPr="00535822">
        <w:rPr>
          <w:rFonts w:ascii="Arial" w:eastAsia="Arial" w:hAnsi="Arial" w:cs="Arial"/>
          <w:b/>
          <w:bCs/>
          <w:color w:val="000000" w:themeColor="text1"/>
          <w:sz w:val="24"/>
          <w:szCs w:val="24"/>
        </w:rPr>
        <w:t xml:space="preserve">. FUNDAMENTOS LEGALES </w:t>
      </w:r>
    </w:p>
    <w:p w14:paraId="206B3C9F" w14:textId="6172A0A7" w:rsidR="00DE7CE6" w:rsidRPr="00E81B35" w:rsidRDefault="00DE7CE6" w:rsidP="0C465A4C">
      <w:pPr>
        <w:spacing w:line="276" w:lineRule="auto"/>
        <w:jc w:val="both"/>
        <w:rPr>
          <w:rFonts w:ascii="Arial" w:eastAsia="Arial" w:hAnsi="Arial" w:cs="Arial"/>
          <w:color w:val="000000" w:themeColor="text1"/>
          <w:sz w:val="24"/>
          <w:szCs w:val="24"/>
          <w:lang w:val="es-ES"/>
        </w:rPr>
      </w:pPr>
    </w:p>
    <w:p w14:paraId="6881DDB2" w14:textId="63261950" w:rsidR="00DE7CE6" w:rsidRPr="00E81B35" w:rsidRDefault="3D2C2096" w:rsidP="0C465A4C">
      <w:pPr>
        <w:spacing w:line="276" w:lineRule="auto"/>
        <w:jc w:val="both"/>
        <w:rPr>
          <w:rFonts w:ascii="Arial" w:eastAsia="Arial" w:hAnsi="Arial" w:cs="Arial"/>
          <w:color w:val="000000" w:themeColor="text1"/>
          <w:sz w:val="24"/>
          <w:szCs w:val="24"/>
          <w:lang w:val="es-ES"/>
        </w:rPr>
      </w:pPr>
      <w:r w:rsidRPr="0C465A4C">
        <w:rPr>
          <w:rFonts w:ascii="Arial" w:eastAsia="Arial" w:hAnsi="Arial" w:cs="Arial"/>
          <w:color w:val="000000" w:themeColor="text1"/>
          <w:sz w:val="24"/>
          <w:szCs w:val="24"/>
        </w:rPr>
        <w:t>Que conforme al artículo 422 del Código General del Proceso (CGP), pueden demandarse ejecutivamente las obligaciones expresas, claras y exigibles que consten en documentos que provengan del deudor; quiere decir que en este caso la obligación impone una conducta de hacer por un sujeto pasivo que está determinado para cumplir la condición del pago.</w:t>
      </w:r>
    </w:p>
    <w:p w14:paraId="5BBAF178" w14:textId="5FD32416" w:rsidR="00DE7CE6" w:rsidRPr="00E81B35" w:rsidRDefault="3D2C2096" w:rsidP="0C465A4C">
      <w:pPr>
        <w:spacing w:line="276" w:lineRule="auto"/>
        <w:jc w:val="both"/>
        <w:rPr>
          <w:rFonts w:ascii="Arial" w:eastAsia="Arial" w:hAnsi="Arial" w:cs="Arial"/>
          <w:color w:val="000000" w:themeColor="text1"/>
          <w:sz w:val="24"/>
          <w:szCs w:val="24"/>
          <w:lang w:val="es-ES"/>
        </w:rPr>
      </w:pPr>
      <w:r w:rsidRPr="0C465A4C">
        <w:rPr>
          <w:rFonts w:ascii="Arial" w:eastAsia="Arial" w:hAnsi="Arial" w:cs="Arial"/>
          <w:color w:val="000000" w:themeColor="text1"/>
          <w:sz w:val="24"/>
          <w:szCs w:val="24"/>
        </w:rPr>
        <w:t>Que revisadas las exigencias relacionadas por la subdirección de talento humano para exigir a los ex funcionarios el pago del faltante de los aportes de pensión, existe la certeza, exigibilidad, claridad y legalidad para declarar el incumplimiento de la obligación.</w:t>
      </w:r>
    </w:p>
    <w:p w14:paraId="006FE53B" w14:textId="6C8367FB" w:rsidR="00DE7CE6" w:rsidRPr="00E81B35" w:rsidRDefault="3D2C2096" w:rsidP="0C465A4C">
      <w:pPr>
        <w:spacing w:line="276" w:lineRule="auto"/>
        <w:jc w:val="both"/>
        <w:rPr>
          <w:rFonts w:ascii="Arial" w:eastAsia="Arial" w:hAnsi="Arial" w:cs="Arial"/>
          <w:color w:val="000000" w:themeColor="text1"/>
          <w:sz w:val="24"/>
          <w:szCs w:val="24"/>
          <w:lang w:val="es-ES"/>
        </w:rPr>
      </w:pPr>
      <w:r w:rsidRPr="0C465A4C">
        <w:rPr>
          <w:rFonts w:ascii="Arial" w:eastAsia="Arial" w:hAnsi="Arial" w:cs="Arial"/>
          <w:color w:val="000000" w:themeColor="text1"/>
          <w:sz w:val="24"/>
          <w:szCs w:val="24"/>
        </w:rPr>
        <w:t xml:space="preserve">Que el artículo 112 de la Ley 6 de 1992, otorga la facultad de cobro coactivo a las entidades públicas del orden nacional, entre ellas a los Departamentos Administrativos; lo cual, se encuentra en concordancia con lo establecido en el </w:t>
      </w:r>
      <w:r w:rsidRPr="0C465A4C">
        <w:rPr>
          <w:rFonts w:ascii="Arial" w:eastAsia="Arial" w:hAnsi="Arial" w:cs="Arial"/>
          <w:color w:val="000000" w:themeColor="text1"/>
          <w:sz w:val="24"/>
          <w:szCs w:val="24"/>
        </w:rPr>
        <w:lastRenderedPageBreak/>
        <w:t xml:space="preserve">artículo 5 de la Ley 1066 de 2006 y en el artículo 98 de la Ley 1437 de 2011 - Código de Procedimiento Administrativo y de lo Contencioso Administrativo (CPACA), en virtud de ello, las entidades públicas deberán recaudar las obligaciones creadas en su favor, que consten en documentos que presten mérito ejecutivo, a efectos de lo cual están revestidas de la prerrogativa de cobro coactivo o podrán acudir ante los jueces competentes. </w:t>
      </w:r>
    </w:p>
    <w:p w14:paraId="192D326B" w14:textId="00F31696" w:rsidR="00DE7CE6" w:rsidRPr="00E81B35" w:rsidRDefault="3D2C2096" w:rsidP="0C465A4C">
      <w:pPr>
        <w:spacing w:line="276" w:lineRule="auto"/>
        <w:jc w:val="both"/>
        <w:rPr>
          <w:rFonts w:ascii="Arial" w:eastAsia="Arial" w:hAnsi="Arial" w:cs="Arial"/>
          <w:color w:val="000000" w:themeColor="text1"/>
          <w:sz w:val="24"/>
          <w:szCs w:val="24"/>
          <w:lang w:val="es-ES"/>
        </w:rPr>
      </w:pPr>
      <w:r w:rsidRPr="544F0F6E">
        <w:rPr>
          <w:rFonts w:ascii="Arial" w:eastAsia="Arial" w:hAnsi="Arial" w:cs="Arial"/>
          <w:color w:val="000000" w:themeColor="text1"/>
          <w:sz w:val="24"/>
          <w:szCs w:val="24"/>
        </w:rPr>
        <w:t>Que acorde con lo expuesto, la Honorable Corte Constitucional en sentencia C-666 de 2006, definió el cobro coactivo como: “un privilegio exorbitante de la administración que consiste en la facultad de cobrar directamente, sin que medie intervención judicial, las deudas a su favor, adquiriendo la doble calidad de juez y parte, cuya justificación se encuentra en la prevalencia del interés general, en cuanto dichos recursos se necesitan con urgencia para cumplir eficazmente los fines estatales”.</w:t>
      </w:r>
    </w:p>
    <w:p w14:paraId="429D5E77" w14:textId="609D9D85" w:rsidR="00DE7CE6" w:rsidRPr="00E81B35" w:rsidRDefault="3D2C2096" w:rsidP="0C465A4C">
      <w:pPr>
        <w:spacing w:line="240" w:lineRule="atLeast"/>
        <w:ind w:right="-283"/>
        <w:jc w:val="both"/>
        <w:rPr>
          <w:rFonts w:ascii="Arial" w:eastAsia="Arial" w:hAnsi="Arial" w:cs="Arial"/>
          <w:color w:val="000000" w:themeColor="text1"/>
          <w:sz w:val="24"/>
          <w:szCs w:val="24"/>
          <w:lang w:val="es-ES"/>
        </w:rPr>
      </w:pPr>
      <w:r w:rsidRPr="0C465A4C">
        <w:rPr>
          <w:rFonts w:ascii="Arial" w:eastAsia="Arial" w:hAnsi="Arial" w:cs="Arial"/>
          <w:color w:val="000000" w:themeColor="text1"/>
          <w:sz w:val="24"/>
          <w:szCs w:val="24"/>
        </w:rPr>
        <w:t xml:space="preserve">Que de conformidad con el artículo 2, numeral 15, de la Resolución MME 40548 de 2019, en la forma en que fue modificada por Resolución MME 40408 del 30 de septiembre de 2024, se delegó al </w:t>
      </w:r>
      <w:r w:rsidR="00535822" w:rsidRPr="0C465A4C">
        <w:rPr>
          <w:rFonts w:ascii="Arial" w:eastAsia="Arial" w:hAnsi="Arial" w:cs="Arial"/>
          <w:color w:val="000000" w:themeColor="text1"/>
          <w:sz w:val="24"/>
          <w:szCs w:val="24"/>
        </w:rPr>
        <w:t>secretario general</w:t>
      </w:r>
      <w:r w:rsidRPr="0C465A4C">
        <w:rPr>
          <w:rFonts w:ascii="Arial" w:eastAsia="Arial" w:hAnsi="Arial" w:cs="Arial"/>
          <w:color w:val="000000" w:themeColor="text1"/>
          <w:sz w:val="24"/>
          <w:szCs w:val="24"/>
        </w:rPr>
        <w:t xml:space="preserve"> del Ministerio de Minas y Energía: </w:t>
      </w:r>
      <w:r w:rsidRPr="0C465A4C">
        <w:rPr>
          <w:rFonts w:ascii="Arial" w:eastAsia="Arial" w:hAnsi="Arial" w:cs="Arial"/>
          <w:i/>
          <w:iCs/>
          <w:color w:val="000000" w:themeColor="text1"/>
          <w:sz w:val="24"/>
          <w:szCs w:val="24"/>
        </w:rPr>
        <w:t>“Proferir los actos administrativos que declaran deudas u obligaciones a favor del Ministerio de Minas y Energía, tal y como lo dispone el artículo 99 de la Ley 1437 de 2011 o la norma que lo modifique o sustituya."</w:t>
      </w:r>
    </w:p>
    <w:p w14:paraId="5FF7B2AF" w14:textId="13D85646" w:rsidR="00DE7CE6" w:rsidRPr="00E81B35" w:rsidRDefault="3D2C2096" w:rsidP="0C465A4C">
      <w:pPr>
        <w:spacing w:line="240" w:lineRule="atLeast"/>
        <w:ind w:right="-283"/>
        <w:jc w:val="both"/>
        <w:rPr>
          <w:rFonts w:ascii="Arial" w:eastAsia="Arial" w:hAnsi="Arial" w:cs="Arial"/>
          <w:color w:val="000000" w:themeColor="text1"/>
          <w:sz w:val="24"/>
          <w:szCs w:val="24"/>
          <w:lang w:val="es-ES"/>
        </w:rPr>
      </w:pPr>
      <w:r w:rsidRPr="0C465A4C">
        <w:rPr>
          <w:rFonts w:ascii="Arial" w:eastAsia="Arial" w:hAnsi="Arial" w:cs="Arial"/>
          <w:color w:val="000000" w:themeColor="text1"/>
          <w:sz w:val="24"/>
          <w:szCs w:val="24"/>
        </w:rPr>
        <w:t>Que al artículo 99, numeral 1, de la Ley 1437 de 2011 señala que prestarán mérito ejecutivo para su cobro coactivo, siempre que en ellos conste una obligación clara, expresa y exigible, todo acto administrativo ejecutoriado que imponga a favor de las entidades públicas a las que alude el parágrafo del artículo 104, la obligación de pagar una suma líquida de dinero, en los casos previstos en la ley.</w:t>
      </w:r>
    </w:p>
    <w:p w14:paraId="5672CCFB" w14:textId="0C0089DE" w:rsidR="00DE7CE6" w:rsidRPr="00E81B35" w:rsidRDefault="3D2C2096" w:rsidP="0C465A4C">
      <w:pPr>
        <w:spacing w:line="240" w:lineRule="atLeast"/>
        <w:ind w:right="-283"/>
        <w:jc w:val="both"/>
        <w:rPr>
          <w:rFonts w:ascii="Arial" w:eastAsia="Arial" w:hAnsi="Arial" w:cs="Arial"/>
          <w:color w:val="000000" w:themeColor="text1"/>
          <w:sz w:val="24"/>
          <w:szCs w:val="24"/>
          <w:lang w:val="es-ES"/>
        </w:rPr>
      </w:pPr>
      <w:r w:rsidRPr="544F0F6E">
        <w:rPr>
          <w:rFonts w:ascii="Arial" w:eastAsia="Arial" w:hAnsi="Arial" w:cs="Arial"/>
          <w:color w:val="000000" w:themeColor="text1"/>
          <w:sz w:val="24"/>
          <w:szCs w:val="24"/>
        </w:rPr>
        <w:t xml:space="preserve">Que con ocasión de lo anterior, la Secretaría General realizó las verificaciones formales de la documentación entregada por parte de la subdirección de talento humano; y en ese orden de ideas, asume la presunción de validez de los conceptos, certificaciones y declaraciones emanadas por parte de la prenombrada subdirección; así las cosas, esta Secretaría General no cuenta con elementos de juicio que hagan pensar que los cálculos sean equivocados; y en consecuencia, toma como válida la información contenida en los documentos que soportan la solicitud de expedición de este acto administrativo; por tanto, esta Secretaría procede a ordenar el cobro coactivo a </w:t>
      </w:r>
      <w:r w:rsidRPr="544F0F6E">
        <w:rPr>
          <w:rFonts w:ascii="Arial" w:eastAsia="Arial" w:hAnsi="Arial" w:cs="Arial"/>
          <w:color w:val="000000" w:themeColor="text1"/>
        </w:rPr>
        <w:t xml:space="preserve">la Señora </w:t>
      </w:r>
      <w:r w:rsidR="4E4B43FF" w:rsidRPr="544F0F6E">
        <w:rPr>
          <w:rFonts w:ascii="Arial" w:eastAsia="Times New Roman" w:hAnsi="Arial" w:cs="Arial"/>
          <w:b/>
          <w:bCs/>
          <w:lang w:eastAsia="es-CO"/>
        </w:rPr>
        <w:t>MARTHA MILENA BOADA TORRES</w:t>
      </w:r>
      <w:r w:rsidRPr="544F0F6E">
        <w:rPr>
          <w:rFonts w:ascii="Arial" w:eastAsia="Arial" w:hAnsi="Arial" w:cs="Arial"/>
          <w:color w:val="000000" w:themeColor="text1"/>
          <w:sz w:val="24"/>
          <w:szCs w:val="24"/>
        </w:rPr>
        <w:t xml:space="preserve"> pagar a favor del Ministerio de Minas y Energía, los valores de las cotizaciones al Sistema General de Pensiones, faltantes al aporte de pensión por los periodos abril y mayo de 2020, junto con los intereses de mora.    </w:t>
      </w:r>
    </w:p>
    <w:p w14:paraId="166E4E53" w14:textId="50F96E4A" w:rsidR="00DE7CE6" w:rsidRPr="00E81B35" w:rsidRDefault="00DE7CE6" w:rsidP="544F0F6E">
      <w:pPr>
        <w:spacing w:line="240" w:lineRule="atLeast"/>
        <w:ind w:right="-283"/>
        <w:jc w:val="both"/>
        <w:rPr>
          <w:rFonts w:ascii="Arial" w:eastAsia="Arial" w:hAnsi="Arial" w:cs="Arial"/>
          <w:color w:val="000000" w:themeColor="text1"/>
          <w:sz w:val="24"/>
          <w:szCs w:val="24"/>
        </w:rPr>
      </w:pPr>
    </w:p>
    <w:p w14:paraId="153E5D32" w14:textId="1E32E7FE" w:rsidR="00DE7CE6" w:rsidRPr="00E81B35" w:rsidRDefault="52734C76" w:rsidP="544F0F6E">
      <w:pPr>
        <w:spacing w:line="240" w:lineRule="atLeast"/>
        <w:ind w:right="-283"/>
        <w:jc w:val="both"/>
        <w:rPr>
          <w:rFonts w:ascii="Arial" w:eastAsia="Arial" w:hAnsi="Arial" w:cs="Arial"/>
          <w:color w:val="000000" w:themeColor="text1"/>
          <w:sz w:val="24"/>
          <w:szCs w:val="24"/>
        </w:rPr>
      </w:pPr>
      <w:r w:rsidRPr="544F0F6E">
        <w:rPr>
          <w:rFonts w:ascii="Arial" w:eastAsia="Arial" w:hAnsi="Arial" w:cs="Arial"/>
          <w:b/>
          <w:bCs/>
          <w:color w:val="000000" w:themeColor="text1"/>
          <w:sz w:val="24"/>
          <w:szCs w:val="24"/>
          <w:lang w:val="es-MX"/>
        </w:rPr>
        <w:t xml:space="preserve">Mérito ejecutivo </w:t>
      </w:r>
    </w:p>
    <w:p w14:paraId="719E774F" w14:textId="33D24B3B" w:rsidR="00DE7CE6" w:rsidRPr="00E81B35" w:rsidRDefault="52734C76" w:rsidP="544F0F6E">
      <w:pPr>
        <w:spacing w:line="240" w:lineRule="atLeast"/>
        <w:ind w:right="-283"/>
        <w:jc w:val="both"/>
        <w:rPr>
          <w:rFonts w:ascii="Arial" w:eastAsia="Arial" w:hAnsi="Arial" w:cs="Arial"/>
          <w:color w:val="000000" w:themeColor="text1"/>
          <w:sz w:val="24"/>
          <w:szCs w:val="24"/>
        </w:rPr>
      </w:pPr>
      <w:r w:rsidRPr="544F0F6E">
        <w:rPr>
          <w:rFonts w:ascii="Arial" w:eastAsia="Arial" w:hAnsi="Arial" w:cs="Arial"/>
          <w:color w:val="000000" w:themeColor="text1"/>
          <w:sz w:val="24"/>
          <w:szCs w:val="24"/>
          <w:lang w:val="es-MX"/>
        </w:rPr>
        <w:t>Los Ministerios gozan del poder de jurisdicción coactiva para hacer efectivas las obligaciones exigibles a su favor, en virtud de los artículos 112 de la Ley 6 de 1992, y 98 y 99 de la Ley 1437 de 2011.  Con fundamento en estas normas, y por cumplir con lo señalado en el Reglamento Interno de Recaudo de cartera de este Ministerio, establecido en la Resolución 90430 del 24 de abril de 2014, la presente resolución presta mérito ejecutivo.</w:t>
      </w:r>
    </w:p>
    <w:p w14:paraId="7249698F" w14:textId="3EC8D694" w:rsidR="00DE7CE6" w:rsidRPr="00E81B35" w:rsidRDefault="00DE7CE6" w:rsidP="544F0F6E">
      <w:pPr>
        <w:spacing w:line="240" w:lineRule="atLeast"/>
        <w:ind w:right="-283"/>
        <w:jc w:val="both"/>
        <w:rPr>
          <w:rFonts w:ascii="Arial" w:eastAsia="Arial" w:hAnsi="Arial" w:cs="Arial"/>
          <w:color w:val="000000" w:themeColor="text1"/>
          <w:sz w:val="24"/>
          <w:szCs w:val="24"/>
        </w:rPr>
      </w:pPr>
    </w:p>
    <w:p w14:paraId="46A951EF" w14:textId="1ADC6683" w:rsidR="00DE7CE6" w:rsidRPr="00E81B35" w:rsidRDefault="3D2C2096" w:rsidP="544F0F6E">
      <w:pPr>
        <w:spacing w:line="240" w:lineRule="atLeast"/>
        <w:ind w:right="-283"/>
        <w:jc w:val="both"/>
        <w:rPr>
          <w:rFonts w:ascii="Arial" w:eastAsia="Arial" w:hAnsi="Arial" w:cs="Arial"/>
          <w:color w:val="000000" w:themeColor="text1"/>
          <w:sz w:val="24"/>
          <w:szCs w:val="24"/>
          <w:lang w:val="es-ES"/>
        </w:rPr>
      </w:pPr>
      <w:r w:rsidRPr="544F0F6E">
        <w:rPr>
          <w:rFonts w:ascii="Arial" w:eastAsia="Arial" w:hAnsi="Arial" w:cs="Arial"/>
          <w:color w:val="000000" w:themeColor="text1"/>
          <w:sz w:val="24"/>
          <w:szCs w:val="24"/>
        </w:rPr>
        <w:t xml:space="preserve">En mérito de lo expuesto,    </w:t>
      </w:r>
    </w:p>
    <w:p w14:paraId="0FC77E4C" w14:textId="1C2F6568" w:rsidR="00DE7CE6" w:rsidRPr="00E81B35" w:rsidRDefault="00DE7CE6" w:rsidP="0C465A4C">
      <w:pPr>
        <w:spacing w:line="240" w:lineRule="atLeast"/>
        <w:ind w:right="-283"/>
        <w:jc w:val="both"/>
        <w:rPr>
          <w:rFonts w:ascii="Arial" w:eastAsia="Arial" w:hAnsi="Arial" w:cs="Arial"/>
          <w:color w:val="000000" w:themeColor="text1"/>
          <w:sz w:val="24"/>
          <w:szCs w:val="24"/>
          <w:lang w:val="es-ES"/>
        </w:rPr>
      </w:pPr>
    </w:p>
    <w:p w14:paraId="55AF6BA8" w14:textId="1DB4F0BC" w:rsidR="00DE7CE6" w:rsidRPr="00E81B35" w:rsidRDefault="3D2C2096" w:rsidP="0C465A4C">
      <w:pPr>
        <w:spacing w:line="276" w:lineRule="auto"/>
        <w:jc w:val="center"/>
        <w:rPr>
          <w:rFonts w:ascii="Arial" w:eastAsia="Arial" w:hAnsi="Arial" w:cs="Arial"/>
          <w:color w:val="000000" w:themeColor="text1"/>
          <w:sz w:val="24"/>
          <w:szCs w:val="24"/>
          <w:lang w:val="es-ES"/>
        </w:rPr>
      </w:pPr>
      <w:r w:rsidRPr="0C465A4C">
        <w:rPr>
          <w:rFonts w:ascii="Arial" w:eastAsia="Arial" w:hAnsi="Arial" w:cs="Arial"/>
          <w:b/>
          <w:bCs/>
          <w:color w:val="000000" w:themeColor="text1"/>
          <w:sz w:val="24"/>
          <w:szCs w:val="24"/>
        </w:rPr>
        <w:t>RESUELVE:</w:t>
      </w:r>
    </w:p>
    <w:p w14:paraId="3C355E9F" w14:textId="5608188B" w:rsidR="00DE7CE6" w:rsidRPr="00E81B35" w:rsidRDefault="00DE7CE6" w:rsidP="0C465A4C">
      <w:pPr>
        <w:spacing w:line="276" w:lineRule="auto"/>
        <w:jc w:val="both"/>
        <w:rPr>
          <w:rFonts w:ascii="Arial" w:eastAsia="Arial" w:hAnsi="Arial" w:cs="Arial"/>
          <w:color w:val="000000" w:themeColor="text1"/>
          <w:sz w:val="24"/>
          <w:szCs w:val="24"/>
          <w:lang w:val="es-ES"/>
        </w:rPr>
      </w:pPr>
    </w:p>
    <w:p w14:paraId="6090C5D1" w14:textId="62454A7C" w:rsidR="00DE7CE6" w:rsidRPr="00E81B35" w:rsidRDefault="3D2C2096" w:rsidP="0C465A4C">
      <w:pPr>
        <w:spacing w:line="276" w:lineRule="auto"/>
        <w:jc w:val="both"/>
        <w:rPr>
          <w:rFonts w:ascii="Arial" w:eastAsia="Arial" w:hAnsi="Arial" w:cs="Arial"/>
          <w:color w:val="000000" w:themeColor="text1"/>
          <w:lang w:val="es-ES"/>
        </w:rPr>
      </w:pPr>
      <w:r w:rsidRPr="544F0F6E">
        <w:rPr>
          <w:rFonts w:ascii="Arial" w:eastAsia="Arial" w:hAnsi="Arial" w:cs="Arial"/>
          <w:b/>
          <w:bCs/>
          <w:color w:val="000000" w:themeColor="text1"/>
        </w:rPr>
        <w:lastRenderedPageBreak/>
        <w:t xml:space="preserve">Artículo 1. </w:t>
      </w:r>
      <w:r w:rsidRPr="544F0F6E">
        <w:rPr>
          <w:rFonts w:ascii="Arial" w:eastAsia="Arial" w:hAnsi="Arial" w:cs="Arial"/>
          <w:color w:val="000000" w:themeColor="text1"/>
        </w:rPr>
        <w:t xml:space="preserve">Ordenar a la Señora </w:t>
      </w:r>
      <w:r w:rsidR="4E507C0E" w:rsidRPr="544F0F6E">
        <w:rPr>
          <w:rFonts w:ascii="Arial" w:eastAsia="Times New Roman" w:hAnsi="Arial" w:cs="Arial"/>
          <w:b/>
          <w:bCs/>
          <w:lang w:eastAsia="es-CO"/>
        </w:rPr>
        <w:t>MARTHA MILENA BOADA TORRES</w:t>
      </w:r>
      <w:r w:rsidR="4E507C0E" w:rsidRPr="544F0F6E">
        <w:rPr>
          <w:rFonts w:ascii="Arial" w:hAnsi="Arial" w:cs="Arial"/>
        </w:rPr>
        <w:t>, identificada con C.C 30.050.924</w:t>
      </w:r>
      <w:r w:rsidRPr="544F0F6E">
        <w:rPr>
          <w:rFonts w:ascii="Arial" w:eastAsia="Arial" w:hAnsi="Arial" w:cs="Arial"/>
          <w:color w:val="4471C4"/>
        </w:rPr>
        <w:t xml:space="preserve">, </w:t>
      </w:r>
      <w:r w:rsidRPr="544F0F6E">
        <w:rPr>
          <w:rFonts w:ascii="Arial" w:eastAsia="Arial" w:hAnsi="Arial" w:cs="Arial"/>
          <w:color w:val="000000" w:themeColor="text1"/>
        </w:rPr>
        <w:t xml:space="preserve">pagar a favor del </w:t>
      </w:r>
      <w:r w:rsidRPr="544F0F6E">
        <w:rPr>
          <w:rFonts w:ascii="Arial" w:eastAsia="Arial" w:hAnsi="Arial" w:cs="Arial"/>
          <w:b/>
          <w:bCs/>
          <w:color w:val="000000" w:themeColor="text1"/>
        </w:rPr>
        <w:t xml:space="preserve">MINISTERIO DE MINAS Y ENERGIA </w:t>
      </w:r>
      <w:r w:rsidRPr="544F0F6E">
        <w:rPr>
          <w:rFonts w:ascii="Arial" w:eastAsia="Arial" w:hAnsi="Arial" w:cs="Arial"/>
          <w:b/>
          <w:bCs/>
          <w:color w:val="000000" w:themeColor="text1"/>
          <w:sz w:val="24"/>
          <w:szCs w:val="24"/>
        </w:rPr>
        <w:t>– SUBDIRECCION DE TALENTO HUMANO</w:t>
      </w:r>
      <w:r w:rsidRPr="544F0F6E">
        <w:rPr>
          <w:rFonts w:ascii="Arial" w:eastAsia="Arial" w:hAnsi="Arial" w:cs="Arial"/>
          <w:color w:val="000000" w:themeColor="text1"/>
        </w:rPr>
        <w:t xml:space="preserve">, por concepto de las cotizaciones al Sistema General de Pensiones faltantes al aporte de pensión por los periodos abril y mayo de 2020, junto con los correspondientes rendimientos financieros e intereses de mora causados y liquidados con </w:t>
      </w:r>
      <w:r w:rsidRPr="00E875B6">
        <w:rPr>
          <w:rFonts w:ascii="Arial" w:eastAsia="Arial" w:hAnsi="Arial" w:cs="Arial"/>
          <w:color w:val="000000" w:themeColor="text1"/>
        </w:rPr>
        <w:t xml:space="preserve">corte a </w:t>
      </w:r>
      <w:r w:rsidR="003D4D16" w:rsidRPr="00E875B6">
        <w:rPr>
          <w:rFonts w:ascii="Arial" w:eastAsia="Arial" w:hAnsi="Arial" w:cs="Arial"/>
          <w:color w:val="000000" w:themeColor="text1"/>
        </w:rPr>
        <w:t>15</w:t>
      </w:r>
      <w:r w:rsidRPr="00E875B6">
        <w:rPr>
          <w:rFonts w:ascii="Arial" w:eastAsia="Arial" w:hAnsi="Arial" w:cs="Arial"/>
          <w:color w:val="000000" w:themeColor="text1"/>
        </w:rPr>
        <w:t xml:space="preserve"> de mayo de 202</w:t>
      </w:r>
      <w:r w:rsidR="003D4D16" w:rsidRPr="00E875B6">
        <w:rPr>
          <w:rFonts w:ascii="Arial" w:eastAsia="Arial" w:hAnsi="Arial" w:cs="Arial"/>
          <w:color w:val="000000" w:themeColor="text1"/>
        </w:rPr>
        <w:t>6</w:t>
      </w:r>
      <w:r w:rsidRPr="00E875B6">
        <w:rPr>
          <w:rFonts w:ascii="Arial" w:eastAsia="Arial" w:hAnsi="Arial" w:cs="Arial"/>
          <w:color w:val="000000" w:themeColor="text1"/>
        </w:rPr>
        <w:t xml:space="preserve">, por la suma de </w:t>
      </w:r>
      <w:r w:rsidR="00090531" w:rsidRPr="00E875B6">
        <w:rPr>
          <w:rFonts w:ascii="Arial" w:eastAsia="Arial" w:hAnsi="Arial" w:cs="Arial"/>
          <w:b/>
          <w:bCs/>
          <w:color w:val="000000" w:themeColor="text1"/>
        </w:rPr>
        <w:t>SEISCIENTOS CINCUENTA Y NUEVE MIL TRESCIENTOS SIETE</w:t>
      </w:r>
      <w:r w:rsidR="00A669F2">
        <w:rPr>
          <w:rFonts w:ascii="Arial" w:eastAsia="Arial" w:hAnsi="Arial" w:cs="Arial"/>
          <w:b/>
          <w:bCs/>
          <w:color w:val="000000" w:themeColor="text1"/>
        </w:rPr>
        <w:t xml:space="preserve"> MIL</w:t>
      </w:r>
      <w:r w:rsidR="00090531" w:rsidRPr="00E875B6">
        <w:rPr>
          <w:rFonts w:ascii="Arial" w:eastAsia="Arial" w:hAnsi="Arial" w:cs="Arial"/>
          <w:b/>
          <w:bCs/>
          <w:color w:val="000000" w:themeColor="text1"/>
        </w:rPr>
        <w:t xml:space="preserve"> </w:t>
      </w:r>
      <w:r w:rsidRPr="00E875B6">
        <w:rPr>
          <w:rFonts w:ascii="Arial" w:eastAsia="Arial" w:hAnsi="Arial" w:cs="Arial"/>
          <w:b/>
          <w:bCs/>
          <w:color w:val="000000" w:themeColor="text1"/>
        </w:rPr>
        <w:t>PESOS M/CTE ($</w:t>
      </w:r>
      <w:r w:rsidR="00090531" w:rsidRPr="00E875B6">
        <w:rPr>
          <w:rFonts w:ascii="Arial" w:eastAsia="Arial" w:hAnsi="Arial" w:cs="Arial"/>
          <w:b/>
          <w:bCs/>
          <w:color w:val="000000" w:themeColor="text1"/>
        </w:rPr>
        <w:t>659.307</w:t>
      </w:r>
      <w:r w:rsidRPr="544F0F6E">
        <w:rPr>
          <w:rFonts w:ascii="Arial" w:eastAsia="Arial" w:hAnsi="Arial" w:cs="Arial"/>
          <w:b/>
          <w:bCs/>
          <w:color w:val="000000" w:themeColor="text1"/>
        </w:rPr>
        <w:t xml:space="preserve">) </w:t>
      </w:r>
      <w:r w:rsidRPr="544F0F6E">
        <w:rPr>
          <w:rFonts w:ascii="Arial" w:eastAsia="Arial" w:hAnsi="Arial" w:cs="Arial"/>
          <w:color w:val="000000" w:themeColor="text1"/>
        </w:rPr>
        <w:t>discriminados de la siguiente manera:</w:t>
      </w:r>
    </w:p>
    <w:tbl>
      <w:tblPr>
        <w:tblW w:w="0" w:type="auto"/>
        <w:tblCellMar>
          <w:left w:w="0" w:type="dxa"/>
          <w:right w:w="0" w:type="dxa"/>
        </w:tblCellMar>
        <w:tblLook w:val="04A0" w:firstRow="1" w:lastRow="0" w:firstColumn="1" w:lastColumn="0" w:noHBand="0" w:noVBand="1"/>
      </w:tblPr>
      <w:tblGrid>
        <w:gridCol w:w="2728"/>
        <w:gridCol w:w="1239"/>
        <w:gridCol w:w="2437"/>
        <w:gridCol w:w="2424"/>
      </w:tblGrid>
      <w:tr w:rsidR="00E875B6" w14:paraId="27757583" w14:textId="77777777" w:rsidTr="00A669F2">
        <w:trPr>
          <w:trHeight w:val="550"/>
        </w:trPr>
        <w:tc>
          <w:tcPr>
            <w:tcW w:w="0" w:type="auto"/>
            <w:tcBorders>
              <w:top w:val="single" w:sz="4" w:space="0" w:color="auto"/>
              <w:left w:val="single" w:sz="4" w:space="0" w:color="auto"/>
              <w:bottom w:val="single" w:sz="4" w:space="0" w:color="auto"/>
              <w:right w:val="single" w:sz="4" w:space="0" w:color="auto"/>
            </w:tcBorders>
            <w:shd w:val="clear" w:color="000000" w:fill="D9E1F2"/>
            <w:noWrap/>
            <w:tcMar>
              <w:top w:w="15" w:type="dxa"/>
              <w:left w:w="15" w:type="dxa"/>
              <w:bottom w:w="0" w:type="dxa"/>
              <w:right w:w="15" w:type="dxa"/>
            </w:tcMar>
            <w:vAlign w:val="center"/>
            <w:hideMark/>
          </w:tcPr>
          <w:p w14:paraId="14F5E792" w14:textId="77777777" w:rsidR="00E875B6" w:rsidRDefault="00E875B6" w:rsidP="00E875B6">
            <w:pPr>
              <w:spacing w:line="240" w:lineRule="auto"/>
              <w:jc w:val="center"/>
              <w:rPr>
                <w:rFonts w:ascii="Arial Narrow" w:hAnsi="Arial Narrow" w:cs="Calibri"/>
                <w:b/>
                <w:bCs/>
                <w:color w:val="000000"/>
                <w:kern w:val="0"/>
                <w:sz w:val="20"/>
                <w:szCs w:val="20"/>
                <w14:ligatures w14:val="none"/>
              </w:rPr>
            </w:pPr>
            <w:r>
              <w:rPr>
                <w:rFonts w:ascii="Arial Narrow" w:hAnsi="Arial Narrow" w:cs="Calibri"/>
                <w:b/>
                <w:bCs/>
                <w:color w:val="000000"/>
                <w:sz w:val="20"/>
                <w:szCs w:val="20"/>
              </w:rPr>
              <w:t>Nombre</w:t>
            </w:r>
          </w:p>
        </w:tc>
        <w:tc>
          <w:tcPr>
            <w:tcW w:w="0" w:type="auto"/>
            <w:tcBorders>
              <w:top w:val="single" w:sz="4" w:space="0" w:color="auto"/>
              <w:left w:val="nil"/>
              <w:bottom w:val="single" w:sz="4" w:space="0" w:color="auto"/>
              <w:right w:val="single" w:sz="4" w:space="0" w:color="auto"/>
            </w:tcBorders>
            <w:shd w:val="clear" w:color="000000" w:fill="D9E1F2"/>
            <w:tcMar>
              <w:top w:w="15" w:type="dxa"/>
              <w:left w:w="15" w:type="dxa"/>
              <w:bottom w:w="0" w:type="dxa"/>
              <w:right w:w="15" w:type="dxa"/>
            </w:tcMar>
            <w:vAlign w:val="center"/>
            <w:hideMark/>
          </w:tcPr>
          <w:p w14:paraId="38C1783F" w14:textId="77777777" w:rsidR="00E875B6" w:rsidRDefault="00E875B6" w:rsidP="00E875B6">
            <w:pPr>
              <w:jc w:val="center"/>
              <w:rPr>
                <w:rFonts w:ascii="Arial Narrow" w:hAnsi="Arial Narrow" w:cs="Calibri"/>
                <w:b/>
                <w:bCs/>
                <w:color w:val="000000"/>
                <w:sz w:val="20"/>
                <w:szCs w:val="20"/>
              </w:rPr>
            </w:pPr>
            <w:r>
              <w:rPr>
                <w:rFonts w:ascii="Arial Narrow" w:hAnsi="Arial Narrow" w:cs="Calibri"/>
                <w:b/>
                <w:bCs/>
                <w:color w:val="000000"/>
                <w:sz w:val="20"/>
                <w:szCs w:val="20"/>
              </w:rPr>
              <w:t>Valor adeudado</w:t>
            </w:r>
          </w:p>
        </w:tc>
        <w:tc>
          <w:tcPr>
            <w:tcW w:w="0" w:type="auto"/>
            <w:tcBorders>
              <w:top w:val="single" w:sz="4" w:space="0" w:color="auto"/>
              <w:left w:val="nil"/>
              <w:bottom w:val="single" w:sz="4" w:space="0" w:color="auto"/>
              <w:right w:val="single" w:sz="4" w:space="0" w:color="auto"/>
            </w:tcBorders>
            <w:shd w:val="clear" w:color="000000" w:fill="D9E1F2"/>
            <w:tcMar>
              <w:top w:w="15" w:type="dxa"/>
              <w:left w:w="15" w:type="dxa"/>
              <w:bottom w:w="0" w:type="dxa"/>
              <w:right w:w="15" w:type="dxa"/>
            </w:tcMar>
            <w:vAlign w:val="center"/>
            <w:hideMark/>
          </w:tcPr>
          <w:p w14:paraId="712EE92B" w14:textId="0A89E9EC" w:rsidR="00E875B6" w:rsidRDefault="00E875B6" w:rsidP="00E875B6">
            <w:pPr>
              <w:jc w:val="center"/>
              <w:rPr>
                <w:rFonts w:ascii="Arial Narrow" w:hAnsi="Arial Narrow" w:cs="Calibri"/>
                <w:b/>
                <w:bCs/>
                <w:color w:val="000000"/>
                <w:sz w:val="20"/>
                <w:szCs w:val="20"/>
              </w:rPr>
            </w:pPr>
            <w:r>
              <w:rPr>
                <w:rFonts w:ascii="Arial Narrow" w:hAnsi="Arial Narrow" w:cs="Calibri"/>
                <w:b/>
                <w:bCs/>
                <w:color w:val="000000"/>
                <w:sz w:val="20"/>
                <w:szCs w:val="20"/>
              </w:rPr>
              <w:t xml:space="preserve">Valor </w:t>
            </w:r>
            <w:r>
              <w:rPr>
                <w:rFonts w:ascii="Arial Narrow" w:hAnsi="Arial Narrow" w:cs="Calibri"/>
                <w:b/>
                <w:bCs/>
                <w:color w:val="000000"/>
                <w:sz w:val="20"/>
                <w:szCs w:val="20"/>
              </w:rPr>
              <w:t>interés</w:t>
            </w:r>
            <w:r>
              <w:rPr>
                <w:rFonts w:ascii="Arial Narrow" w:hAnsi="Arial Narrow" w:cs="Calibri"/>
                <w:b/>
                <w:bCs/>
                <w:color w:val="000000"/>
                <w:sz w:val="20"/>
                <w:szCs w:val="20"/>
              </w:rPr>
              <w:t xml:space="preserve"> con corte al 15/05/2026</w:t>
            </w:r>
          </w:p>
        </w:tc>
        <w:tc>
          <w:tcPr>
            <w:tcW w:w="0" w:type="auto"/>
            <w:tcBorders>
              <w:top w:val="single" w:sz="4" w:space="0" w:color="auto"/>
              <w:left w:val="nil"/>
              <w:bottom w:val="single" w:sz="4" w:space="0" w:color="auto"/>
              <w:right w:val="single" w:sz="4" w:space="0" w:color="auto"/>
            </w:tcBorders>
            <w:shd w:val="clear" w:color="000000" w:fill="D9E1F2"/>
            <w:tcMar>
              <w:top w:w="15" w:type="dxa"/>
              <w:left w:w="15" w:type="dxa"/>
              <w:bottom w:w="0" w:type="dxa"/>
              <w:right w:w="15" w:type="dxa"/>
            </w:tcMar>
            <w:vAlign w:val="center"/>
            <w:hideMark/>
          </w:tcPr>
          <w:p w14:paraId="2FB4001F" w14:textId="77777777" w:rsidR="00E875B6" w:rsidRDefault="00E875B6" w:rsidP="00E875B6">
            <w:pPr>
              <w:jc w:val="center"/>
              <w:rPr>
                <w:rFonts w:ascii="Arial Narrow" w:hAnsi="Arial Narrow" w:cs="Calibri"/>
                <w:b/>
                <w:bCs/>
                <w:color w:val="000000"/>
                <w:sz w:val="20"/>
                <w:szCs w:val="20"/>
              </w:rPr>
            </w:pPr>
            <w:proofErr w:type="gramStart"/>
            <w:r>
              <w:rPr>
                <w:rFonts w:ascii="Arial Narrow" w:hAnsi="Arial Narrow" w:cs="Calibri"/>
                <w:b/>
                <w:bCs/>
                <w:color w:val="000000"/>
                <w:sz w:val="20"/>
                <w:szCs w:val="20"/>
              </w:rPr>
              <w:t>Total</w:t>
            </w:r>
            <w:proofErr w:type="gramEnd"/>
            <w:r>
              <w:rPr>
                <w:rFonts w:ascii="Arial Narrow" w:hAnsi="Arial Narrow" w:cs="Calibri"/>
                <w:b/>
                <w:bCs/>
                <w:color w:val="000000"/>
                <w:sz w:val="20"/>
                <w:szCs w:val="20"/>
              </w:rPr>
              <w:t xml:space="preserve"> deuda con corte a 15/05/2026</w:t>
            </w:r>
          </w:p>
        </w:tc>
      </w:tr>
      <w:tr w:rsidR="00E875B6" w14:paraId="7904440C" w14:textId="77777777" w:rsidTr="00A669F2">
        <w:trPr>
          <w:trHeight w:val="410"/>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029EAAB" w14:textId="77777777" w:rsidR="00E875B6" w:rsidRDefault="00E875B6" w:rsidP="00E875B6">
            <w:pPr>
              <w:jc w:val="center"/>
              <w:rPr>
                <w:rFonts w:ascii="Arial Narrow" w:hAnsi="Arial Narrow" w:cs="Calibri"/>
                <w:color w:val="000000"/>
                <w:sz w:val="20"/>
                <w:szCs w:val="20"/>
              </w:rPr>
            </w:pPr>
            <w:r>
              <w:rPr>
                <w:rFonts w:ascii="Arial Narrow" w:hAnsi="Arial Narrow" w:cs="Calibri"/>
                <w:color w:val="000000"/>
                <w:sz w:val="20"/>
                <w:szCs w:val="20"/>
              </w:rPr>
              <w:t>BOADA TORRES MARTHA MILENA</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31C9848" w14:textId="77777777" w:rsidR="00E875B6" w:rsidRDefault="00E875B6" w:rsidP="00E875B6">
            <w:pPr>
              <w:jc w:val="center"/>
              <w:rPr>
                <w:rFonts w:ascii="Arial Narrow" w:hAnsi="Arial Narrow" w:cs="Calibri"/>
                <w:color w:val="000000"/>
                <w:sz w:val="20"/>
                <w:szCs w:val="20"/>
              </w:rPr>
            </w:pPr>
            <w:r>
              <w:rPr>
                <w:rFonts w:ascii="Arial Narrow" w:hAnsi="Arial Narrow" w:cs="Calibri"/>
                <w:color w:val="000000"/>
                <w:sz w:val="20"/>
                <w:szCs w:val="20"/>
              </w:rPr>
              <w:t> $         560.000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B0AED28" w14:textId="77777777" w:rsidR="00E875B6" w:rsidRDefault="00E875B6" w:rsidP="00E875B6">
            <w:pPr>
              <w:jc w:val="center"/>
              <w:rPr>
                <w:rFonts w:ascii="Arial Narrow" w:hAnsi="Arial Narrow" w:cs="Calibri"/>
                <w:color w:val="000000"/>
                <w:sz w:val="20"/>
                <w:szCs w:val="20"/>
              </w:rPr>
            </w:pPr>
            <w:r>
              <w:rPr>
                <w:rFonts w:ascii="Arial Narrow" w:hAnsi="Arial Narrow" w:cs="Calibri"/>
                <w:color w:val="000000"/>
                <w:sz w:val="20"/>
                <w:szCs w:val="20"/>
              </w:rPr>
              <w:t> $          99.307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D38D9B2" w14:textId="77777777" w:rsidR="00E875B6" w:rsidRDefault="00E875B6">
            <w:pPr>
              <w:jc w:val="center"/>
              <w:rPr>
                <w:rFonts w:ascii="Arial Narrow" w:hAnsi="Arial Narrow" w:cs="Calibri"/>
                <w:color w:val="000000"/>
                <w:sz w:val="20"/>
                <w:szCs w:val="20"/>
              </w:rPr>
            </w:pPr>
            <w:r>
              <w:rPr>
                <w:rFonts w:ascii="Arial Narrow" w:hAnsi="Arial Narrow" w:cs="Calibri"/>
                <w:color w:val="000000"/>
                <w:sz w:val="20"/>
                <w:szCs w:val="20"/>
              </w:rPr>
              <w:t>$                659.307</w:t>
            </w:r>
          </w:p>
        </w:tc>
      </w:tr>
    </w:tbl>
    <w:p w14:paraId="5755F1FC" w14:textId="77777777" w:rsidR="00E875B6" w:rsidRDefault="00E875B6" w:rsidP="0C465A4C">
      <w:pPr>
        <w:spacing w:line="276" w:lineRule="auto"/>
        <w:jc w:val="both"/>
        <w:rPr>
          <w:rFonts w:ascii="Arial" w:eastAsia="Arial" w:hAnsi="Arial" w:cs="Arial"/>
          <w:b/>
          <w:bCs/>
          <w:color w:val="000000" w:themeColor="text1"/>
          <w:sz w:val="24"/>
          <w:szCs w:val="24"/>
        </w:rPr>
      </w:pPr>
    </w:p>
    <w:p w14:paraId="0D58CFAE" w14:textId="0B4453F7" w:rsidR="00DE7CE6" w:rsidRPr="00E81B35" w:rsidRDefault="3D2C2096" w:rsidP="0C465A4C">
      <w:pPr>
        <w:spacing w:line="276" w:lineRule="auto"/>
        <w:jc w:val="both"/>
        <w:rPr>
          <w:rFonts w:ascii="Arial" w:eastAsia="Arial" w:hAnsi="Arial" w:cs="Arial"/>
          <w:color w:val="000000" w:themeColor="text1"/>
          <w:sz w:val="24"/>
          <w:szCs w:val="24"/>
          <w:lang w:val="es-ES"/>
        </w:rPr>
      </w:pPr>
      <w:r w:rsidRPr="0C465A4C">
        <w:rPr>
          <w:rFonts w:ascii="Arial" w:eastAsia="Arial" w:hAnsi="Arial" w:cs="Arial"/>
          <w:b/>
          <w:bCs/>
          <w:color w:val="000000" w:themeColor="text1"/>
          <w:sz w:val="24"/>
          <w:szCs w:val="24"/>
        </w:rPr>
        <w:t>Parágrafo 1</w:t>
      </w:r>
      <w:r w:rsidRPr="0C465A4C">
        <w:rPr>
          <w:rFonts w:ascii="Arial" w:eastAsia="Arial" w:hAnsi="Arial" w:cs="Arial"/>
          <w:color w:val="000000" w:themeColor="text1"/>
          <w:sz w:val="24"/>
          <w:szCs w:val="24"/>
        </w:rPr>
        <w:t xml:space="preserve">. Los intereses de mora deberán actualizarse a la fecha del pago efectivo de la obligación, de conformidad con la tasa de mora para el pago de obligaciones tributarias señalada en el Estatuto Tributario. </w:t>
      </w:r>
    </w:p>
    <w:p w14:paraId="6BD0ED43" w14:textId="1747748E" w:rsidR="00DE7CE6" w:rsidRPr="00E81B35" w:rsidRDefault="3D2C2096" w:rsidP="0C465A4C">
      <w:pPr>
        <w:spacing w:line="276" w:lineRule="auto"/>
        <w:jc w:val="both"/>
        <w:rPr>
          <w:rFonts w:ascii="Arial" w:eastAsia="Arial" w:hAnsi="Arial" w:cs="Arial"/>
          <w:color w:val="000000" w:themeColor="text1"/>
          <w:sz w:val="24"/>
          <w:szCs w:val="24"/>
          <w:lang w:val="es-ES"/>
        </w:rPr>
      </w:pPr>
      <w:r w:rsidRPr="0C465A4C">
        <w:rPr>
          <w:rFonts w:ascii="Arial" w:eastAsia="Arial" w:hAnsi="Arial" w:cs="Arial"/>
          <w:b/>
          <w:bCs/>
          <w:color w:val="000000" w:themeColor="text1"/>
          <w:sz w:val="24"/>
          <w:szCs w:val="24"/>
        </w:rPr>
        <w:t>Parágrafo 2:</w:t>
      </w:r>
      <w:r w:rsidRPr="0C465A4C">
        <w:rPr>
          <w:rFonts w:ascii="Arial" w:eastAsia="Arial" w:hAnsi="Arial" w:cs="Arial"/>
          <w:color w:val="000000" w:themeColor="text1"/>
          <w:sz w:val="24"/>
          <w:szCs w:val="24"/>
        </w:rPr>
        <w:t xml:space="preserve"> </w:t>
      </w:r>
      <w:commentRangeStart w:id="0"/>
      <w:r w:rsidRPr="00F778B2">
        <w:rPr>
          <w:rFonts w:ascii="Arial" w:eastAsia="Arial" w:hAnsi="Arial" w:cs="Arial"/>
          <w:color w:val="000000" w:themeColor="text1"/>
          <w:sz w:val="24"/>
          <w:szCs w:val="24"/>
          <w:shd w:val="clear" w:color="auto" w:fill="FFFF00"/>
        </w:rPr>
        <w:t>El pago deberá hacerse mediante giro a la cuenta de ahorros número 473000084953 del Banco Davivienda</w:t>
      </w:r>
      <w:r w:rsidRPr="0C465A4C">
        <w:rPr>
          <w:rFonts w:ascii="Arial" w:eastAsia="Arial" w:hAnsi="Arial" w:cs="Arial"/>
          <w:color w:val="000000" w:themeColor="text1"/>
          <w:sz w:val="24"/>
          <w:szCs w:val="24"/>
        </w:rPr>
        <w:t xml:space="preserve">, </w:t>
      </w:r>
      <w:commentRangeEnd w:id="0"/>
      <w:r w:rsidR="000D3FD5">
        <w:rPr>
          <w:rStyle w:val="Refdecomentario"/>
          <w:rFonts w:ascii="Arial Narrow" w:eastAsia="MS Mincho" w:hAnsi="Arial Narrow" w:cs="Times New Roman"/>
          <w:kern w:val="0"/>
          <w:lang w:val="es-ES" w:eastAsia="es-ES"/>
          <w14:ligatures w14:val="none"/>
        </w:rPr>
        <w:commentReference w:id="0"/>
      </w:r>
      <w:r w:rsidRPr="0C465A4C">
        <w:rPr>
          <w:rFonts w:ascii="Arial" w:eastAsia="Arial" w:hAnsi="Arial" w:cs="Arial"/>
          <w:color w:val="000000" w:themeColor="text1"/>
          <w:sz w:val="24"/>
          <w:szCs w:val="24"/>
        </w:rPr>
        <w:t xml:space="preserve">a nombre del MINISTERIO DE MINAS Y ENERGÍA, NIT: 899.999.022-1. La copia de la transacción deberá remitirse al Ministerio de Minas y Energía, Subdirección de Talento Humano al correo: </w:t>
      </w:r>
      <w:hyperlink r:id="rId15">
        <w:r w:rsidRPr="0C465A4C">
          <w:rPr>
            <w:rStyle w:val="Hipervnculo"/>
            <w:rFonts w:ascii="Arial" w:eastAsia="Arial" w:hAnsi="Arial" w:cs="Arial"/>
            <w:sz w:val="24"/>
            <w:szCs w:val="24"/>
          </w:rPr>
          <w:t>menergia@minenergia.gov.co</w:t>
        </w:r>
      </w:hyperlink>
    </w:p>
    <w:p w14:paraId="0A575CBF" w14:textId="1A9FE862" w:rsidR="00DE7CE6" w:rsidRPr="00E81B35" w:rsidRDefault="3D2C2096" w:rsidP="0C465A4C">
      <w:pPr>
        <w:spacing w:line="276" w:lineRule="auto"/>
        <w:jc w:val="both"/>
        <w:rPr>
          <w:rFonts w:ascii="Arial" w:eastAsia="Arial" w:hAnsi="Arial" w:cs="Arial"/>
          <w:color w:val="000000" w:themeColor="text1"/>
          <w:sz w:val="24"/>
          <w:szCs w:val="24"/>
          <w:lang w:val="es-ES"/>
        </w:rPr>
      </w:pPr>
      <w:r w:rsidRPr="0C465A4C">
        <w:rPr>
          <w:rFonts w:ascii="Arial" w:eastAsia="Arial" w:hAnsi="Arial" w:cs="Arial"/>
          <w:b/>
          <w:bCs/>
          <w:color w:val="000000" w:themeColor="text1"/>
          <w:sz w:val="24"/>
          <w:szCs w:val="24"/>
        </w:rPr>
        <w:t xml:space="preserve">Artículo 2. </w:t>
      </w:r>
      <w:r w:rsidRPr="0C465A4C">
        <w:rPr>
          <w:rFonts w:ascii="Arial" w:eastAsia="Arial" w:hAnsi="Arial" w:cs="Arial"/>
          <w:color w:val="000000" w:themeColor="text1"/>
          <w:sz w:val="24"/>
          <w:szCs w:val="24"/>
        </w:rPr>
        <w:t>Una vez en firme, la presente Resolución, junto con sus anexos, presta mérito ejecutivo, en los términos del artículo 99, numeral 1, del Código de Procedimiento Administrativo y de lo Contencioso Administrativo (Ley 1437 de 2011); por lo que, si no se ha verificado su pago, deberá procederse al Cobro Coactivo.</w:t>
      </w:r>
    </w:p>
    <w:p w14:paraId="5292D315" w14:textId="78DA9ABC" w:rsidR="00DE7CE6" w:rsidRPr="00E81B35" w:rsidRDefault="3D2C2096" w:rsidP="0C465A4C">
      <w:pPr>
        <w:spacing w:line="276" w:lineRule="auto"/>
        <w:jc w:val="both"/>
        <w:rPr>
          <w:rFonts w:ascii="Arial" w:eastAsia="Arial" w:hAnsi="Arial" w:cs="Arial"/>
          <w:color w:val="000000" w:themeColor="text1"/>
          <w:sz w:val="24"/>
          <w:szCs w:val="24"/>
          <w:lang w:val="es-ES"/>
        </w:rPr>
      </w:pPr>
      <w:r w:rsidRPr="0C465A4C">
        <w:rPr>
          <w:rFonts w:ascii="Arial" w:eastAsia="Arial" w:hAnsi="Arial" w:cs="Arial"/>
          <w:b/>
          <w:bCs/>
          <w:color w:val="000000" w:themeColor="text1"/>
          <w:sz w:val="24"/>
          <w:szCs w:val="24"/>
        </w:rPr>
        <w:t xml:space="preserve">Artículo 3. </w:t>
      </w:r>
      <w:r w:rsidRPr="0C465A4C">
        <w:rPr>
          <w:rFonts w:ascii="Arial" w:eastAsia="Arial" w:hAnsi="Arial" w:cs="Arial"/>
          <w:color w:val="000000" w:themeColor="text1"/>
          <w:sz w:val="24"/>
          <w:szCs w:val="24"/>
        </w:rPr>
        <w:t>Hace parte de esta Resolución el acto administrativo No. 40176 de fecha 27 de mayo de 2024, junto con sus anexos.</w:t>
      </w:r>
    </w:p>
    <w:p w14:paraId="05CC993F" w14:textId="2454CB63" w:rsidR="00DE7CE6" w:rsidRPr="00E81B35" w:rsidRDefault="3D2C2096" w:rsidP="0C465A4C">
      <w:pPr>
        <w:spacing w:line="276" w:lineRule="auto"/>
        <w:jc w:val="both"/>
        <w:rPr>
          <w:rFonts w:ascii="Arial" w:eastAsia="Arial" w:hAnsi="Arial" w:cs="Arial"/>
          <w:color w:val="000000" w:themeColor="text1"/>
          <w:lang w:val="es-ES"/>
        </w:rPr>
      </w:pPr>
      <w:r w:rsidRPr="0C465A4C">
        <w:rPr>
          <w:rFonts w:ascii="Arial" w:eastAsia="Arial" w:hAnsi="Arial" w:cs="Arial"/>
          <w:b/>
          <w:bCs/>
          <w:color w:val="000000" w:themeColor="text1"/>
          <w:sz w:val="24"/>
          <w:szCs w:val="24"/>
        </w:rPr>
        <w:t xml:space="preserve">Artículo 4. </w:t>
      </w:r>
      <w:r w:rsidRPr="0C465A4C">
        <w:rPr>
          <w:rFonts w:ascii="Arial" w:eastAsia="Arial" w:hAnsi="Arial" w:cs="Arial"/>
          <w:color w:val="000000" w:themeColor="text1"/>
          <w:sz w:val="24"/>
          <w:szCs w:val="24"/>
        </w:rPr>
        <w:t>Contra la presente resolución procede únicamente el recurso de reposición el cual debe interponerse ante este Despacho dentro de los diez (10) días siguientes a su notificación, según lo establecido en los artículos 74, 76 y 77 de la Ley 1437 de 2011, Código de Procedimiento Administrativo y de lo Contencioso Administrativo.</w:t>
      </w:r>
      <w:r w:rsidRPr="0C465A4C">
        <w:rPr>
          <w:rFonts w:ascii="Arial" w:eastAsia="Arial" w:hAnsi="Arial" w:cs="Arial"/>
          <w:b/>
          <w:bCs/>
          <w:color w:val="000000" w:themeColor="text1"/>
        </w:rPr>
        <w:t xml:space="preserve"> </w:t>
      </w:r>
    </w:p>
    <w:p w14:paraId="70C56F0F" w14:textId="0743DB83" w:rsidR="00DE7CE6" w:rsidRPr="00E81B35" w:rsidRDefault="00DE7CE6" w:rsidP="1E0ABF73">
      <w:pPr>
        <w:spacing w:line="276" w:lineRule="auto"/>
        <w:jc w:val="both"/>
        <w:rPr>
          <w:rFonts w:ascii="Arial" w:eastAsia="Arial" w:hAnsi="Arial" w:cs="Arial"/>
          <w:sz w:val="24"/>
          <w:szCs w:val="24"/>
        </w:rPr>
      </w:pPr>
      <w:r w:rsidRPr="1E0ABF73">
        <w:rPr>
          <w:rFonts w:ascii="Arial" w:eastAsia="Arial" w:hAnsi="Arial" w:cs="Arial"/>
          <w:b/>
          <w:bCs/>
          <w:sz w:val="24"/>
          <w:szCs w:val="24"/>
        </w:rPr>
        <w:t>Artículo 5</w:t>
      </w:r>
      <w:r w:rsidR="4E03CBA3" w:rsidRPr="1E0ABF73">
        <w:rPr>
          <w:rFonts w:ascii="Arial" w:eastAsia="Arial" w:hAnsi="Arial" w:cs="Arial"/>
          <w:b/>
          <w:bCs/>
          <w:sz w:val="24"/>
          <w:szCs w:val="24"/>
        </w:rPr>
        <w:t xml:space="preserve">: </w:t>
      </w:r>
      <w:bookmarkStart w:id="1" w:name="_Hlk193281852"/>
      <w:r w:rsidRPr="1E0ABF73">
        <w:rPr>
          <w:rFonts w:ascii="Arial" w:eastAsia="Arial" w:hAnsi="Arial" w:cs="Arial"/>
          <w:sz w:val="24"/>
          <w:szCs w:val="24"/>
        </w:rPr>
        <w:t>Notificar personalme</w:t>
      </w:r>
      <w:r w:rsidR="00BC6ADB" w:rsidRPr="1E0ABF73">
        <w:rPr>
          <w:rFonts w:ascii="Arial" w:eastAsia="Arial" w:hAnsi="Arial" w:cs="Arial"/>
          <w:sz w:val="24"/>
          <w:szCs w:val="24"/>
        </w:rPr>
        <w:t xml:space="preserve">nte esta Resolución a la </w:t>
      </w:r>
      <w:r w:rsidR="000D3FD5">
        <w:rPr>
          <w:rFonts w:ascii="Arial" w:eastAsia="Arial" w:hAnsi="Arial" w:cs="Arial"/>
          <w:sz w:val="24"/>
          <w:szCs w:val="24"/>
        </w:rPr>
        <w:t>s</w:t>
      </w:r>
      <w:r w:rsidR="00BC6ADB" w:rsidRPr="1E0ABF73">
        <w:rPr>
          <w:rFonts w:ascii="Arial" w:eastAsia="Arial" w:hAnsi="Arial" w:cs="Arial"/>
          <w:sz w:val="24"/>
          <w:szCs w:val="24"/>
        </w:rPr>
        <w:t>eñora</w:t>
      </w:r>
      <w:r w:rsidR="00BC6ADB" w:rsidRPr="1E0ABF73">
        <w:rPr>
          <w:rFonts w:ascii="Arial" w:eastAsia="Arial" w:hAnsi="Arial" w:cs="Arial"/>
          <w:snapToGrid w:val="0"/>
          <w:sz w:val="24"/>
          <w:szCs w:val="24"/>
          <w:lang w:eastAsia="es-CO"/>
        </w:rPr>
        <w:t xml:space="preserve"> </w:t>
      </w:r>
      <w:r w:rsidR="00BC6ADB" w:rsidRPr="1E0ABF73">
        <w:rPr>
          <w:rFonts w:ascii="Arial" w:eastAsia="Arial" w:hAnsi="Arial" w:cs="Arial"/>
          <w:b/>
          <w:bCs/>
          <w:sz w:val="24"/>
          <w:szCs w:val="24"/>
          <w:lang w:eastAsia="es-CO"/>
        </w:rPr>
        <w:t>MARTHA MILENA BOADA TORRES</w:t>
      </w:r>
      <w:r w:rsidRPr="1E0ABF73">
        <w:rPr>
          <w:rFonts w:ascii="Arial" w:eastAsia="Arial" w:hAnsi="Arial" w:cs="Arial"/>
          <w:sz w:val="24"/>
          <w:szCs w:val="24"/>
        </w:rPr>
        <w:t xml:space="preserve">, identificada con </w:t>
      </w:r>
      <w:r w:rsidR="00BC6ADB" w:rsidRPr="1E0ABF73">
        <w:rPr>
          <w:rFonts w:ascii="Arial" w:eastAsia="Arial" w:hAnsi="Arial" w:cs="Arial"/>
          <w:sz w:val="24"/>
          <w:szCs w:val="24"/>
        </w:rPr>
        <w:t>C.C 30.050.924</w:t>
      </w:r>
      <w:r w:rsidRPr="1E0ABF73">
        <w:rPr>
          <w:rFonts w:ascii="Arial" w:eastAsia="Arial" w:hAnsi="Arial" w:cs="Arial"/>
          <w:sz w:val="24"/>
          <w:szCs w:val="24"/>
        </w:rPr>
        <w:t>, a través del correo electrónico</w:t>
      </w:r>
      <w:r w:rsidR="10C0CB09" w:rsidRPr="1E0ABF73">
        <w:rPr>
          <w:rFonts w:ascii="Arial" w:eastAsia="Arial" w:hAnsi="Arial" w:cs="Arial"/>
          <w:sz w:val="24"/>
          <w:szCs w:val="24"/>
        </w:rPr>
        <w:t xml:space="preserve">: Martha Milena Boada Torres ingmarthaboada@yahoo.com Bogotá, D.C. </w:t>
      </w:r>
    </w:p>
    <w:p w14:paraId="7D53A020" w14:textId="77777777" w:rsidR="00DE7CE6" w:rsidRPr="00E81B35" w:rsidRDefault="00DE7CE6" w:rsidP="00DE7CE6">
      <w:pPr>
        <w:spacing w:line="276" w:lineRule="auto"/>
        <w:jc w:val="both"/>
        <w:rPr>
          <w:rFonts w:ascii="Arial" w:hAnsi="Arial" w:cs="Arial"/>
        </w:rPr>
      </w:pPr>
      <w:bookmarkStart w:id="2" w:name="_Hlk193281865"/>
      <w:bookmarkEnd w:id="1"/>
      <w:r w:rsidRPr="00E81B35">
        <w:rPr>
          <w:rFonts w:ascii="Arial" w:hAnsi="Arial" w:cs="Arial"/>
          <w:b/>
          <w:bCs/>
        </w:rPr>
        <w:t>Parágrafo.</w:t>
      </w:r>
      <w:r w:rsidRPr="00E81B35">
        <w:rPr>
          <w:rFonts w:ascii="Arial" w:hAnsi="Arial" w:cs="Arial"/>
        </w:rPr>
        <w:t xml:space="preserve"> Si no fuese posible la notificación personal, se deberá notificar por aviso en los términos del artículo 69 del Código de Procedimiento Administrativo</w:t>
      </w:r>
      <w:bookmarkEnd w:id="2"/>
      <w:r w:rsidRPr="00E81B35">
        <w:rPr>
          <w:rFonts w:ascii="Arial" w:hAnsi="Arial" w:cs="Arial"/>
        </w:rPr>
        <w:t>.</w:t>
      </w:r>
    </w:p>
    <w:p w14:paraId="34D88900" w14:textId="77777777" w:rsidR="00047978" w:rsidRPr="00E81B35" w:rsidRDefault="00047978" w:rsidP="00047978">
      <w:pPr>
        <w:spacing w:line="276" w:lineRule="auto"/>
        <w:jc w:val="both"/>
        <w:rPr>
          <w:rFonts w:ascii="Arial" w:hAnsi="Arial" w:cs="Arial"/>
        </w:rPr>
      </w:pPr>
    </w:p>
    <w:p w14:paraId="720C91CC" w14:textId="79A43D92" w:rsidR="00047978" w:rsidRPr="00E81B35" w:rsidRDefault="00047978" w:rsidP="00047978">
      <w:pPr>
        <w:spacing w:line="276" w:lineRule="auto"/>
        <w:jc w:val="both"/>
        <w:rPr>
          <w:rFonts w:ascii="Arial" w:hAnsi="Arial" w:cs="Arial"/>
        </w:rPr>
      </w:pPr>
      <w:r w:rsidRPr="00E81B35">
        <w:rPr>
          <w:rFonts w:ascii="Arial" w:hAnsi="Arial" w:cs="Arial"/>
        </w:rPr>
        <w:t xml:space="preserve">Dada en Bogotá, D.C., a los </w:t>
      </w:r>
      <w:proofErr w:type="gramStart"/>
      <w:r w:rsidR="00DB7944" w:rsidRPr="00DB7944">
        <w:rPr>
          <w:rFonts w:ascii="Arial" w:hAnsi="Arial" w:cs="Arial"/>
        </w:rPr>
        <w:t>vrdia  vrmes</w:t>
      </w:r>
      <w:proofErr w:type="gramEnd"/>
      <w:r w:rsidR="00DB7944" w:rsidRPr="00DB7944">
        <w:rPr>
          <w:rFonts w:ascii="Arial" w:hAnsi="Arial" w:cs="Arial"/>
        </w:rPr>
        <w:t xml:space="preserve">  vranio</w:t>
      </w:r>
      <w:r w:rsidRPr="00E81B35">
        <w:rPr>
          <w:rFonts w:ascii="Arial" w:hAnsi="Arial" w:cs="Arial"/>
        </w:rPr>
        <w:t>.</w:t>
      </w:r>
    </w:p>
    <w:p w14:paraId="67424647" w14:textId="77777777" w:rsidR="00047978" w:rsidRPr="00E81B35" w:rsidRDefault="00047978" w:rsidP="00047978">
      <w:pPr>
        <w:spacing w:line="276" w:lineRule="auto"/>
        <w:jc w:val="both"/>
        <w:rPr>
          <w:rFonts w:ascii="Arial" w:hAnsi="Arial" w:cs="Arial"/>
        </w:rPr>
      </w:pPr>
    </w:p>
    <w:p w14:paraId="748F05B4" w14:textId="41368492" w:rsidR="00047978" w:rsidRPr="00E81B35" w:rsidRDefault="00047978" w:rsidP="00047978">
      <w:pPr>
        <w:spacing w:line="276" w:lineRule="auto"/>
        <w:jc w:val="center"/>
        <w:rPr>
          <w:rFonts w:ascii="Arial" w:hAnsi="Arial" w:cs="Arial"/>
        </w:rPr>
      </w:pPr>
      <w:r w:rsidRPr="00E81B35">
        <w:rPr>
          <w:rFonts w:ascii="Arial" w:hAnsi="Arial" w:cs="Arial"/>
          <w:b/>
        </w:rPr>
        <w:t xml:space="preserve">NOTIFÍQUESE Y CÚMPLASE </w:t>
      </w: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047978" w:rsidRPr="004140C7" w14:paraId="56CBC55D" w14:textId="77777777" w:rsidTr="008D641A">
        <w:tc>
          <w:tcPr>
            <w:tcW w:w="8789" w:type="dxa"/>
            <w:gridSpan w:val="2"/>
            <w:shd w:val="clear" w:color="auto" w:fill="auto"/>
          </w:tcPr>
          <w:p w14:paraId="268EFEA5" w14:textId="77777777" w:rsidR="00047978" w:rsidRPr="004140C7" w:rsidRDefault="00047978" w:rsidP="00BD37B7">
            <w:pPr>
              <w:widowControl w:val="0"/>
              <w:spacing w:after="0"/>
              <w:ind w:left="708" w:hanging="708"/>
              <w:rPr>
                <w:rFonts w:ascii="Arial" w:hAnsi="Arial" w:cs="Arial"/>
                <w:sz w:val="24"/>
                <w:szCs w:val="24"/>
              </w:rPr>
            </w:pPr>
            <w:r w:rsidRPr="004140C7">
              <w:rPr>
                <w:rFonts w:ascii="Arial" w:eastAsia="Calibri" w:hAnsi="Arial" w:cs="Arial"/>
                <w:sz w:val="24"/>
                <w:szCs w:val="24"/>
              </w:rPr>
              <w:t>Tabla_Firmantes</w:t>
            </w:r>
          </w:p>
        </w:tc>
      </w:tr>
      <w:tr w:rsidR="00047978" w:rsidRPr="004140C7" w14:paraId="6767ED51" w14:textId="77777777" w:rsidTr="008D641A">
        <w:tc>
          <w:tcPr>
            <w:tcW w:w="4380" w:type="dxa"/>
            <w:shd w:val="clear" w:color="auto" w:fill="auto"/>
          </w:tcPr>
          <w:p w14:paraId="625F5291" w14:textId="77777777" w:rsidR="00047978" w:rsidRPr="004140C7" w:rsidRDefault="00047978" w:rsidP="008D641A">
            <w:pPr>
              <w:widowControl w:val="0"/>
              <w:spacing w:after="0"/>
              <w:rPr>
                <w:rFonts w:ascii="Arial" w:hAnsi="Arial" w:cs="Arial"/>
                <w:sz w:val="24"/>
                <w:szCs w:val="24"/>
              </w:rPr>
            </w:pPr>
          </w:p>
        </w:tc>
        <w:tc>
          <w:tcPr>
            <w:tcW w:w="4409" w:type="dxa"/>
            <w:shd w:val="clear" w:color="auto" w:fill="auto"/>
          </w:tcPr>
          <w:p w14:paraId="7DEF7BA9" w14:textId="77777777" w:rsidR="00047978" w:rsidRPr="004140C7" w:rsidRDefault="00047978" w:rsidP="008D641A">
            <w:pPr>
              <w:widowControl w:val="0"/>
              <w:spacing w:after="0"/>
              <w:rPr>
                <w:rFonts w:ascii="Arial" w:hAnsi="Arial" w:cs="Arial"/>
                <w:sz w:val="24"/>
                <w:szCs w:val="24"/>
              </w:rPr>
            </w:pPr>
          </w:p>
        </w:tc>
      </w:tr>
      <w:tr w:rsidR="00047978" w:rsidRPr="004140C7" w14:paraId="32F540E5" w14:textId="77777777" w:rsidTr="008D641A">
        <w:tc>
          <w:tcPr>
            <w:tcW w:w="4380" w:type="dxa"/>
            <w:shd w:val="clear" w:color="auto" w:fill="auto"/>
          </w:tcPr>
          <w:p w14:paraId="19081E0F" w14:textId="77777777" w:rsidR="00047978" w:rsidRPr="004140C7" w:rsidRDefault="00047978" w:rsidP="008D641A">
            <w:pPr>
              <w:widowControl w:val="0"/>
              <w:spacing w:after="0"/>
              <w:rPr>
                <w:rFonts w:ascii="Arial" w:hAnsi="Arial" w:cs="Arial"/>
                <w:sz w:val="24"/>
                <w:szCs w:val="24"/>
              </w:rPr>
            </w:pPr>
          </w:p>
        </w:tc>
        <w:tc>
          <w:tcPr>
            <w:tcW w:w="4409" w:type="dxa"/>
            <w:shd w:val="clear" w:color="auto" w:fill="auto"/>
          </w:tcPr>
          <w:p w14:paraId="6775F2EC" w14:textId="77777777" w:rsidR="00047978" w:rsidRPr="004140C7" w:rsidRDefault="00047978" w:rsidP="008D641A">
            <w:pPr>
              <w:widowControl w:val="0"/>
              <w:spacing w:after="0"/>
              <w:rPr>
                <w:rFonts w:ascii="Arial" w:hAnsi="Arial" w:cs="Arial"/>
                <w:sz w:val="24"/>
                <w:szCs w:val="24"/>
              </w:rPr>
            </w:pPr>
          </w:p>
        </w:tc>
      </w:tr>
    </w:tbl>
    <w:p w14:paraId="05C76005" w14:textId="77777777" w:rsidR="00047978" w:rsidRPr="004140C7" w:rsidRDefault="00047978" w:rsidP="00047978">
      <w:pPr>
        <w:spacing w:after="0"/>
        <w:rPr>
          <w:rFonts w:ascii="Arial" w:hAnsi="Arial" w:cs="Arial"/>
          <w:sz w:val="18"/>
          <w:szCs w:val="18"/>
        </w:rPr>
      </w:pPr>
      <w:r w:rsidRPr="004140C7">
        <w:rPr>
          <w:rFonts w:ascii="Arial" w:hAnsi="Arial" w:cs="Arial"/>
          <w:sz w:val="18"/>
          <w:szCs w:val="18"/>
        </w:rPr>
        <w:lastRenderedPageBreak/>
        <w:t>ley_texto</w:t>
      </w:r>
    </w:p>
    <w:p w14:paraId="4F3DB54F" w14:textId="1E6F78E4" w:rsidR="009068CD" w:rsidRPr="00052B4E" w:rsidRDefault="00047978" w:rsidP="008B4D53">
      <w:pPr>
        <w:spacing w:line="276" w:lineRule="auto"/>
      </w:pPr>
      <w:r w:rsidRPr="004140C7">
        <w:rPr>
          <w:rFonts w:ascii="Arial" w:hAnsi="Arial" w:cs="Arial"/>
          <w:sz w:val="18"/>
          <w:szCs w:val="18"/>
        </w:rPr>
        <w:t>Elaboró: res_proyecto</w:t>
      </w:r>
      <w:r w:rsidRPr="004140C7">
        <w:rPr>
          <w:rFonts w:ascii="Arial" w:hAnsi="Arial" w:cs="Arial"/>
          <w:sz w:val="18"/>
          <w:szCs w:val="18"/>
          <w:lang w:val="es-ES"/>
        </w:rPr>
        <w:br/>
      </w:r>
      <w:r w:rsidRPr="004140C7">
        <w:rPr>
          <w:rFonts w:ascii="Arial" w:hAnsi="Arial" w:cs="Arial"/>
          <w:sz w:val="18"/>
          <w:szCs w:val="18"/>
        </w:rPr>
        <w:t>Revisó: res_reviso</w:t>
      </w:r>
      <w:r w:rsidRPr="004140C7">
        <w:rPr>
          <w:rFonts w:ascii="Arial" w:hAnsi="Arial" w:cs="Arial"/>
          <w:sz w:val="18"/>
          <w:szCs w:val="18"/>
        </w:rPr>
        <w:br/>
        <w:t>Aprobó: res_aprobacion</w:t>
      </w:r>
    </w:p>
    <w:sectPr w:rsidR="009068CD" w:rsidRPr="00052B4E" w:rsidSect="009B7FE5">
      <w:headerReference w:type="even" r:id="rId16"/>
      <w:headerReference w:type="default" r:id="rId17"/>
      <w:footerReference w:type="even" r:id="rId18"/>
      <w:footerReference w:type="default" r:id="rId19"/>
      <w:headerReference w:type="first" r:id="rId20"/>
      <w:footerReference w:type="first" r:id="rId21"/>
      <w:pgSz w:w="12240" w:h="20160" w:code="5"/>
      <w:pgMar w:top="2410" w:right="1701" w:bottom="1417" w:left="1701" w:header="708" w:footer="35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jnriverosa@gmail.com" w:date="2026-04-28T15:48:00Z" w:initials="j">
    <w:p w14:paraId="52ED87B3" w14:textId="29F0C697" w:rsidR="000D3FD5" w:rsidRDefault="000D3FD5">
      <w:pPr>
        <w:pStyle w:val="Textocomentario"/>
      </w:pPr>
      <w:r>
        <w:rPr>
          <w:rStyle w:val="Refdecomentario"/>
        </w:rPr>
        <w:annotationRef/>
      </w:r>
      <w:r>
        <w:t>Se encuentra pendiente que nos confirmen el número de cuenta.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2ED87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D9B5551" w16cex:dateUtc="2026-04-28T20: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2ED87B3" w16cid:durableId="2D9B55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4A4EF9" w14:textId="77777777" w:rsidR="00054071" w:rsidRDefault="00054071" w:rsidP="009068CD">
      <w:pPr>
        <w:spacing w:after="0" w:line="240" w:lineRule="auto"/>
      </w:pPr>
      <w:r>
        <w:separator/>
      </w:r>
    </w:p>
  </w:endnote>
  <w:endnote w:type="continuationSeparator" w:id="0">
    <w:p w14:paraId="2B6EB345" w14:textId="77777777" w:rsidR="00054071" w:rsidRDefault="00054071" w:rsidP="00906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Mincho;ＭＳ 明朝">
    <w:panose1 w:val="00000000000000000000"/>
    <w:charset w:val="80"/>
    <w:family w:val="roman"/>
    <w:notTrueType/>
    <w:pitch w:val="default"/>
  </w:font>
  <w:font w:name="Work Sans">
    <w:charset w:val="00"/>
    <w:family w:val="auto"/>
    <w:pitch w:val="variable"/>
    <w:sig w:usb0="A00000FF" w:usb1="5000E07B" w:usb2="00000000" w:usb3="00000000" w:csb0="00000193"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EF9A0" w14:textId="77777777" w:rsidR="006424AC" w:rsidRDefault="006424A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53301636"/>
      <w:docPartObj>
        <w:docPartGallery w:val="Page Numbers (Bottom of Page)"/>
        <w:docPartUnique/>
      </w:docPartObj>
    </w:sdtPr>
    <w:sdtEndPr/>
    <w:sdtContent>
      <w:sdt>
        <w:sdtPr>
          <w:id w:val="-1769616900"/>
          <w:docPartObj>
            <w:docPartGallery w:val="Page Numbers (Top of Page)"/>
            <w:docPartUnique/>
          </w:docPartObj>
        </w:sdtPr>
        <w:sdtEndPr/>
        <w:sdtContent>
          <w:p w14:paraId="67A6BF19" w14:textId="0A3BFC43"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1E5FDE">
              <w:rPr>
                <w:b/>
                <w:bCs/>
                <w:noProof/>
              </w:rPr>
              <w:t>4</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1E5FDE">
              <w:rPr>
                <w:b/>
                <w:bCs/>
                <w:noProof/>
              </w:rPr>
              <w:t>5</w:t>
            </w:r>
            <w:r>
              <w:rPr>
                <w:b/>
                <w:bCs/>
                <w:sz w:val="24"/>
                <w:szCs w:val="24"/>
              </w:rPr>
              <w:fldChar w:fldCharType="end"/>
            </w:r>
          </w:p>
        </w:sdtContent>
      </w:sdt>
    </w:sdtContent>
  </w:sdt>
  <w:p w14:paraId="02FE115B" w14:textId="77777777" w:rsidR="00DD3C5F" w:rsidRDefault="00DD3C5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E0246" w14:textId="77777777" w:rsidR="006424AC" w:rsidRDefault="006424A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5821DB" w14:textId="77777777" w:rsidR="00054071" w:rsidRDefault="00054071" w:rsidP="009068CD">
      <w:pPr>
        <w:spacing w:after="0" w:line="240" w:lineRule="auto"/>
      </w:pPr>
      <w:r>
        <w:separator/>
      </w:r>
    </w:p>
  </w:footnote>
  <w:footnote w:type="continuationSeparator" w:id="0">
    <w:p w14:paraId="08D706DA" w14:textId="77777777" w:rsidR="00054071" w:rsidRDefault="00054071" w:rsidP="00906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EF8F2F" w14:textId="77777777" w:rsidR="006424AC" w:rsidRDefault="006424A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856B7" w14:textId="77777777" w:rsidR="009068CD" w:rsidRDefault="009068CD">
    <w:pPr>
      <w:pStyle w:val="Encabezado"/>
    </w:pPr>
    <w:r w:rsidRPr="009068CD">
      <w:rPr>
        <w:noProof/>
        <w:lang w:eastAsia="es-CO"/>
      </w:rPr>
      <w:drawing>
        <wp:anchor distT="0" distB="0" distL="114300" distR="114300" simplePos="0" relativeHeight="251658240" behindDoc="0" locked="0" layoutInCell="1" allowOverlap="1" wp14:anchorId="0D357256" wp14:editId="7C81D3D9">
          <wp:simplePos x="0" y="0"/>
          <wp:positionH relativeFrom="page">
            <wp:posOffset>0</wp:posOffset>
          </wp:positionH>
          <wp:positionV relativeFrom="paragraph">
            <wp:posOffset>-488768</wp:posOffset>
          </wp:positionV>
          <wp:extent cx="7761052" cy="12820953"/>
          <wp:effectExtent l="0" t="0" r="0" b="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n 30"/>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1052" cy="12820953"/>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FAE1E6" w14:textId="77777777" w:rsidR="006424AC" w:rsidRDefault="006424A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1C042"/>
    <w:multiLevelType w:val="hybridMultilevel"/>
    <w:tmpl w:val="CE7CE934"/>
    <w:lvl w:ilvl="0" w:tplc="3684AFC2">
      <w:start w:val="1"/>
      <w:numFmt w:val="bullet"/>
      <w:lvlText w:val=""/>
      <w:lvlJc w:val="left"/>
      <w:pPr>
        <w:ind w:left="720" w:hanging="360"/>
      </w:pPr>
      <w:rPr>
        <w:rFonts w:ascii="Symbol" w:hAnsi="Symbol" w:hint="default"/>
      </w:rPr>
    </w:lvl>
    <w:lvl w:ilvl="1" w:tplc="43B277F0">
      <w:start w:val="1"/>
      <w:numFmt w:val="bullet"/>
      <w:lvlText w:val="o"/>
      <w:lvlJc w:val="left"/>
      <w:pPr>
        <w:ind w:left="1440" w:hanging="360"/>
      </w:pPr>
      <w:rPr>
        <w:rFonts w:ascii="Courier New" w:hAnsi="Courier New" w:hint="default"/>
      </w:rPr>
    </w:lvl>
    <w:lvl w:ilvl="2" w:tplc="B4F84416">
      <w:start w:val="1"/>
      <w:numFmt w:val="bullet"/>
      <w:lvlText w:val=""/>
      <w:lvlJc w:val="left"/>
      <w:pPr>
        <w:ind w:left="2160" w:hanging="360"/>
      </w:pPr>
      <w:rPr>
        <w:rFonts w:ascii="Wingdings" w:hAnsi="Wingdings" w:hint="default"/>
      </w:rPr>
    </w:lvl>
    <w:lvl w:ilvl="3" w:tplc="80420590">
      <w:start w:val="1"/>
      <w:numFmt w:val="bullet"/>
      <w:lvlText w:val=""/>
      <w:lvlJc w:val="left"/>
      <w:pPr>
        <w:ind w:left="2880" w:hanging="360"/>
      </w:pPr>
      <w:rPr>
        <w:rFonts w:ascii="Symbol" w:hAnsi="Symbol" w:hint="default"/>
      </w:rPr>
    </w:lvl>
    <w:lvl w:ilvl="4" w:tplc="E402C8D6">
      <w:start w:val="1"/>
      <w:numFmt w:val="bullet"/>
      <w:lvlText w:val="o"/>
      <w:lvlJc w:val="left"/>
      <w:pPr>
        <w:ind w:left="3600" w:hanging="360"/>
      </w:pPr>
      <w:rPr>
        <w:rFonts w:ascii="Courier New" w:hAnsi="Courier New" w:hint="default"/>
      </w:rPr>
    </w:lvl>
    <w:lvl w:ilvl="5" w:tplc="60F89CE2">
      <w:start w:val="1"/>
      <w:numFmt w:val="bullet"/>
      <w:lvlText w:val=""/>
      <w:lvlJc w:val="left"/>
      <w:pPr>
        <w:ind w:left="4320" w:hanging="360"/>
      </w:pPr>
      <w:rPr>
        <w:rFonts w:ascii="Wingdings" w:hAnsi="Wingdings" w:hint="default"/>
      </w:rPr>
    </w:lvl>
    <w:lvl w:ilvl="6" w:tplc="029C66AE">
      <w:start w:val="1"/>
      <w:numFmt w:val="bullet"/>
      <w:lvlText w:val=""/>
      <w:lvlJc w:val="left"/>
      <w:pPr>
        <w:ind w:left="5040" w:hanging="360"/>
      </w:pPr>
      <w:rPr>
        <w:rFonts w:ascii="Symbol" w:hAnsi="Symbol" w:hint="default"/>
      </w:rPr>
    </w:lvl>
    <w:lvl w:ilvl="7" w:tplc="89EEEB3C">
      <w:start w:val="1"/>
      <w:numFmt w:val="bullet"/>
      <w:lvlText w:val="o"/>
      <w:lvlJc w:val="left"/>
      <w:pPr>
        <w:ind w:left="5760" w:hanging="360"/>
      </w:pPr>
      <w:rPr>
        <w:rFonts w:ascii="Courier New" w:hAnsi="Courier New" w:hint="default"/>
      </w:rPr>
    </w:lvl>
    <w:lvl w:ilvl="8" w:tplc="0EEE235A">
      <w:start w:val="1"/>
      <w:numFmt w:val="bullet"/>
      <w:lvlText w:val=""/>
      <w:lvlJc w:val="left"/>
      <w:pPr>
        <w:ind w:left="6480" w:hanging="360"/>
      </w:pPr>
      <w:rPr>
        <w:rFonts w:ascii="Wingdings" w:hAnsi="Wingdings" w:hint="default"/>
      </w:rPr>
    </w:lvl>
  </w:abstractNum>
  <w:abstractNum w:abstractNumId="1" w15:restartNumberingAfterBreak="0">
    <w:nsid w:val="05B36339"/>
    <w:multiLevelType w:val="hybridMultilevel"/>
    <w:tmpl w:val="9CF038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A980CB8"/>
    <w:multiLevelType w:val="hybridMultilevel"/>
    <w:tmpl w:val="CC6CF59C"/>
    <w:lvl w:ilvl="0" w:tplc="95F42EE8">
      <w:start w:val="1"/>
      <w:numFmt w:val="upperRoman"/>
      <w:lvlText w:val="%1."/>
      <w:lvlJc w:val="left"/>
      <w:pPr>
        <w:ind w:left="720" w:hanging="720"/>
      </w:pPr>
      <w:rPr>
        <w:rFonts w:asciiTheme="minorHAnsi" w:eastAsiaTheme="minorHAnsi" w:hAnsiTheme="minorHAnsi" w:cstheme="minorBidi" w:hint="default"/>
        <w:i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0DCF6B30"/>
    <w:multiLevelType w:val="hybridMultilevel"/>
    <w:tmpl w:val="710AF13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 w15:restartNumberingAfterBreak="0">
    <w:nsid w:val="36B91576"/>
    <w:multiLevelType w:val="hybridMultilevel"/>
    <w:tmpl w:val="2E7483E8"/>
    <w:lvl w:ilvl="0" w:tplc="CFF68728">
      <w:start w:val="1"/>
      <w:numFmt w:val="bullet"/>
      <w:lvlText w:val=""/>
      <w:lvlJc w:val="left"/>
      <w:pPr>
        <w:ind w:left="720" w:hanging="360"/>
      </w:pPr>
      <w:rPr>
        <w:rFonts w:ascii="Symbol" w:hAnsi="Symbol"/>
      </w:rPr>
    </w:lvl>
    <w:lvl w:ilvl="1" w:tplc="90F6A03A">
      <w:start w:val="1"/>
      <w:numFmt w:val="bullet"/>
      <w:lvlText w:val=""/>
      <w:lvlJc w:val="left"/>
      <w:pPr>
        <w:ind w:left="720" w:hanging="360"/>
      </w:pPr>
      <w:rPr>
        <w:rFonts w:ascii="Symbol" w:hAnsi="Symbol"/>
      </w:rPr>
    </w:lvl>
    <w:lvl w:ilvl="2" w:tplc="7AFEE09E">
      <w:start w:val="1"/>
      <w:numFmt w:val="bullet"/>
      <w:lvlText w:val=""/>
      <w:lvlJc w:val="left"/>
      <w:pPr>
        <w:ind w:left="720" w:hanging="360"/>
      </w:pPr>
      <w:rPr>
        <w:rFonts w:ascii="Symbol" w:hAnsi="Symbol"/>
      </w:rPr>
    </w:lvl>
    <w:lvl w:ilvl="3" w:tplc="C86094FA">
      <w:start w:val="1"/>
      <w:numFmt w:val="bullet"/>
      <w:lvlText w:val=""/>
      <w:lvlJc w:val="left"/>
      <w:pPr>
        <w:ind w:left="720" w:hanging="360"/>
      </w:pPr>
      <w:rPr>
        <w:rFonts w:ascii="Symbol" w:hAnsi="Symbol"/>
      </w:rPr>
    </w:lvl>
    <w:lvl w:ilvl="4" w:tplc="DA00F5D0">
      <w:start w:val="1"/>
      <w:numFmt w:val="bullet"/>
      <w:lvlText w:val=""/>
      <w:lvlJc w:val="left"/>
      <w:pPr>
        <w:ind w:left="720" w:hanging="360"/>
      </w:pPr>
      <w:rPr>
        <w:rFonts w:ascii="Symbol" w:hAnsi="Symbol"/>
      </w:rPr>
    </w:lvl>
    <w:lvl w:ilvl="5" w:tplc="F56851D4">
      <w:start w:val="1"/>
      <w:numFmt w:val="bullet"/>
      <w:lvlText w:val=""/>
      <w:lvlJc w:val="left"/>
      <w:pPr>
        <w:ind w:left="720" w:hanging="360"/>
      </w:pPr>
      <w:rPr>
        <w:rFonts w:ascii="Symbol" w:hAnsi="Symbol"/>
      </w:rPr>
    </w:lvl>
    <w:lvl w:ilvl="6" w:tplc="B504D35E">
      <w:start w:val="1"/>
      <w:numFmt w:val="bullet"/>
      <w:lvlText w:val=""/>
      <w:lvlJc w:val="left"/>
      <w:pPr>
        <w:ind w:left="720" w:hanging="360"/>
      </w:pPr>
      <w:rPr>
        <w:rFonts w:ascii="Symbol" w:hAnsi="Symbol"/>
      </w:rPr>
    </w:lvl>
    <w:lvl w:ilvl="7" w:tplc="375E804A">
      <w:start w:val="1"/>
      <w:numFmt w:val="bullet"/>
      <w:lvlText w:val=""/>
      <w:lvlJc w:val="left"/>
      <w:pPr>
        <w:ind w:left="720" w:hanging="360"/>
      </w:pPr>
      <w:rPr>
        <w:rFonts w:ascii="Symbol" w:hAnsi="Symbol"/>
      </w:rPr>
    </w:lvl>
    <w:lvl w:ilvl="8" w:tplc="103AEF6E">
      <w:start w:val="1"/>
      <w:numFmt w:val="bullet"/>
      <w:lvlText w:val=""/>
      <w:lvlJc w:val="left"/>
      <w:pPr>
        <w:ind w:left="720" w:hanging="360"/>
      </w:pPr>
      <w:rPr>
        <w:rFonts w:ascii="Symbol" w:hAnsi="Symbol"/>
      </w:rPr>
    </w:lvl>
  </w:abstractNum>
  <w:abstractNum w:abstractNumId="5" w15:restartNumberingAfterBreak="0">
    <w:nsid w:val="3B45D661"/>
    <w:multiLevelType w:val="hybridMultilevel"/>
    <w:tmpl w:val="3BAA7864"/>
    <w:lvl w:ilvl="0" w:tplc="08EA6C8C">
      <w:start w:val="1"/>
      <w:numFmt w:val="upperRoman"/>
      <w:lvlText w:val="%1."/>
      <w:lvlJc w:val="left"/>
      <w:pPr>
        <w:ind w:left="720" w:hanging="720"/>
      </w:pPr>
      <w:rPr>
        <w:rFonts w:ascii="Arial" w:hAnsi="Arial" w:hint="default"/>
      </w:rPr>
    </w:lvl>
    <w:lvl w:ilvl="1" w:tplc="ADCCFB82">
      <w:start w:val="1"/>
      <w:numFmt w:val="lowerLetter"/>
      <w:lvlText w:val="%2."/>
      <w:lvlJc w:val="left"/>
      <w:pPr>
        <w:ind w:left="1440" w:hanging="360"/>
      </w:pPr>
    </w:lvl>
    <w:lvl w:ilvl="2" w:tplc="4D5E9A1A">
      <w:start w:val="1"/>
      <w:numFmt w:val="lowerRoman"/>
      <w:lvlText w:val="%3."/>
      <w:lvlJc w:val="right"/>
      <w:pPr>
        <w:ind w:left="2160" w:hanging="180"/>
      </w:pPr>
    </w:lvl>
    <w:lvl w:ilvl="3" w:tplc="3C923162">
      <w:start w:val="1"/>
      <w:numFmt w:val="decimal"/>
      <w:lvlText w:val="%4."/>
      <w:lvlJc w:val="left"/>
      <w:pPr>
        <w:ind w:left="2880" w:hanging="360"/>
      </w:pPr>
    </w:lvl>
    <w:lvl w:ilvl="4" w:tplc="C2F4BFA2">
      <w:start w:val="1"/>
      <w:numFmt w:val="lowerLetter"/>
      <w:lvlText w:val="%5."/>
      <w:lvlJc w:val="left"/>
      <w:pPr>
        <w:ind w:left="3600" w:hanging="360"/>
      </w:pPr>
    </w:lvl>
    <w:lvl w:ilvl="5" w:tplc="57DC2CB8">
      <w:start w:val="1"/>
      <w:numFmt w:val="lowerRoman"/>
      <w:lvlText w:val="%6."/>
      <w:lvlJc w:val="right"/>
      <w:pPr>
        <w:ind w:left="4320" w:hanging="180"/>
      </w:pPr>
    </w:lvl>
    <w:lvl w:ilvl="6" w:tplc="E5161032">
      <w:start w:val="1"/>
      <w:numFmt w:val="decimal"/>
      <w:lvlText w:val="%7."/>
      <w:lvlJc w:val="left"/>
      <w:pPr>
        <w:ind w:left="5040" w:hanging="360"/>
      </w:pPr>
    </w:lvl>
    <w:lvl w:ilvl="7" w:tplc="8FAC495E">
      <w:start w:val="1"/>
      <w:numFmt w:val="lowerLetter"/>
      <w:lvlText w:val="%8."/>
      <w:lvlJc w:val="left"/>
      <w:pPr>
        <w:ind w:left="5760" w:hanging="360"/>
      </w:pPr>
    </w:lvl>
    <w:lvl w:ilvl="8" w:tplc="02586C6C">
      <w:start w:val="1"/>
      <w:numFmt w:val="lowerRoman"/>
      <w:lvlText w:val="%9."/>
      <w:lvlJc w:val="right"/>
      <w:pPr>
        <w:ind w:left="6480" w:hanging="180"/>
      </w:pPr>
    </w:lvl>
  </w:abstractNum>
  <w:abstractNum w:abstractNumId="6" w15:restartNumberingAfterBreak="0">
    <w:nsid w:val="44AD6F59"/>
    <w:multiLevelType w:val="hybridMultilevel"/>
    <w:tmpl w:val="2E643244"/>
    <w:lvl w:ilvl="0" w:tplc="19729BDE">
      <w:start w:val="3"/>
      <w:numFmt w:val="upperRoman"/>
      <w:lvlText w:val="%1."/>
      <w:lvlJc w:val="left"/>
      <w:pPr>
        <w:ind w:left="720" w:hanging="72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4DB3F4B9"/>
    <w:multiLevelType w:val="hybridMultilevel"/>
    <w:tmpl w:val="94F40016"/>
    <w:lvl w:ilvl="0" w:tplc="CAACDD94">
      <w:start w:val="1"/>
      <w:numFmt w:val="bullet"/>
      <w:lvlText w:val=""/>
      <w:lvlJc w:val="left"/>
      <w:pPr>
        <w:ind w:left="720" w:hanging="360"/>
      </w:pPr>
      <w:rPr>
        <w:rFonts w:ascii="Symbol" w:hAnsi="Symbol" w:hint="default"/>
      </w:rPr>
    </w:lvl>
    <w:lvl w:ilvl="1" w:tplc="20ACE042">
      <w:start w:val="1"/>
      <w:numFmt w:val="bullet"/>
      <w:lvlText w:val="o"/>
      <w:lvlJc w:val="left"/>
      <w:pPr>
        <w:ind w:left="1440" w:hanging="360"/>
      </w:pPr>
      <w:rPr>
        <w:rFonts w:ascii="Courier New" w:hAnsi="Courier New" w:hint="default"/>
      </w:rPr>
    </w:lvl>
    <w:lvl w:ilvl="2" w:tplc="C00E6C90">
      <w:start w:val="1"/>
      <w:numFmt w:val="bullet"/>
      <w:lvlText w:val=""/>
      <w:lvlJc w:val="left"/>
      <w:pPr>
        <w:ind w:left="2160" w:hanging="360"/>
      </w:pPr>
      <w:rPr>
        <w:rFonts w:ascii="Wingdings" w:hAnsi="Wingdings" w:hint="default"/>
      </w:rPr>
    </w:lvl>
    <w:lvl w:ilvl="3" w:tplc="5E6CDAE2">
      <w:start w:val="1"/>
      <w:numFmt w:val="bullet"/>
      <w:lvlText w:val=""/>
      <w:lvlJc w:val="left"/>
      <w:pPr>
        <w:ind w:left="2880" w:hanging="360"/>
      </w:pPr>
      <w:rPr>
        <w:rFonts w:ascii="Symbol" w:hAnsi="Symbol" w:hint="default"/>
      </w:rPr>
    </w:lvl>
    <w:lvl w:ilvl="4" w:tplc="C1CC31CA">
      <w:start w:val="1"/>
      <w:numFmt w:val="bullet"/>
      <w:lvlText w:val="o"/>
      <w:lvlJc w:val="left"/>
      <w:pPr>
        <w:ind w:left="3600" w:hanging="360"/>
      </w:pPr>
      <w:rPr>
        <w:rFonts w:ascii="Courier New" w:hAnsi="Courier New" w:hint="default"/>
      </w:rPr>
    </w:lvl>
    <w:lvl w:ilvl="5" w:tplc="70525710">
      <w:start w:val="1"/>
      <w:numFmt w:val="bullet"/>
      <w:lvlText w:val=""/>
      <w:lvlJc w:val="left"/>
      <w:pPr>
        <w:ind w:left="4320" w:hanging="360"/>
      </w:pPr>
      <w:rPr>
        <w:rFonts w:ascii="Wingdings" w:hAnsi="Wingdings" w:hint="default"/>
      </w:rPr>
    </w:lvl>
    <w:lvl w:ilvl="6" w:tplc="5DC4C5BC">
      <w:start w:val="1"/>
      <w:numFmt w:val="bullet"/>
      <w:lvlText w:val=""/>
      <w:lvlJc w:val="left"/>
      <w:pPr>
        <w:ind w:left="5040" w:hanging="360"/>
      </w:pPr>
      <w:rPr>
        <w:rFonts w:ascii="Symbol" w:hAnsi="Symbol" w:hint="default"/>
      </w:rPr>
    </w:lvl>
    <w:lvl w:ilvl="7" w:tplc="5616E1E8">
      <w:start w:val="1"/>
      <w:numFmt w:val="bullet"/>
      <w:lvlText w:val="o"/>
      <w:lvlJc w:val="left"/>
      <w:pPr>
        <w:ind w:left="5760" w:hanging="360"/>
      </w:pPr>
      <w:rPr>
        <w:rFonts w:ascii="Courier New" w:hAnsi="Courier New" w:hint="default"/>
      </w:rPr>
    </w:lvl>
    <w:lvl w:ilvl="8" w:tplc="13C6FCF0">
      <w:start w:val="1"/>
      <w:numFmt w:val="bullet"/>
      <w:lvlText w:val=""/>
      <w:lvlJc w:val="left"/>
      <w:pPr>
        <w:ind w:left="6480" w:hanging="360"/>
      </w:pPr>
      <w:rPr>
        <w:rFonts w:ascii="Wingdings" w:hAnsi="Wingdings" w:hint="default"/>
      </w:rPr>
    </w:lvl>
  </w:abstractNum>
  <w:abstractNum w:abstractNumId="8" w15:restartNumberingAfterBreak="0">
    <w:nsid w:val="51200F77"/>
    <w:multiLevelType w:val="multilevel"/>
    <w:tmpl w:val="2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7"/>
  </w:num>
  <w:num w:numId="2">
    <w:abstractNumId w:val="5"/>
  </w:num>
  <w:num w:numId="3">
    <w:abstractNumId w:val="2"/>
  </w:num>
  <w:num w:numId="4">
    <w:abstractNumId w:val="6"/>
  </w:num>
  <w:num w:numId="5">
    <w:abstractNumId w:val="4"/>
  </w:num>
  <w:num w:numId="6">
    <w:abstractNumId w:val="3"/>
  </w:num>
  <w:num w:numId="7">
    <w:abstractNumId w:val="8"/>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nriverosa@gmail.com">
    <w15:presenceInfo w15:providerId="Windows Live" w15:userId="b05384f4916a3f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37DF5"/>
    <w:rsid w:val="00047978"/>
    <w:rsid w:val="00052B4E"/>
    <w:rsid w:val="00054071"/>
    <w:rsid w:val="00061079"/>
    <w:rsid w:val="00090531"/>
    <w:rsid w:val="0009258E"/>
    <w:rsid w:val="000B224D"/>
    <w:rsid w:val="000B34AA"/>
    <w:rsid w:val="000D3FD5"/>
    <w:rsid w:val="0013090E"/>
    <w:rsid w:val="00130DD2"/>
    <w:rsid w:val="001542E3"/>
    <w:rsid w:val="00155CCF"/>
    <w:rsid w:val="001D6F66"/>
    <w:rsid w:val="001E5415"/>
    <w:rsid w:val="001E5FDE"/>
    <w:rsid w:val="00291FD2"/>
    <w:rsid w:val="002A7CEA"/>
    <w:rsid w:val="002E7087"/>
    <w:rsid w:val="00300C6E"/>
    <w:rsid w:val="00307BD5"/>
    <w:rsid w:val="0033291D"/>
    <w:rsid w:val="003537BC"/>
    <w:rsid w:val="0039635D"/>
    <w:rsid w:val="003D4D16"/>
    <w:rsid w:val="004140C7"/>
    <w:rsid w:val="004905DA"/>
    <w:rsid w:val="004A0BEB"/>
    <w:rsid w:val="004C1FBE"/>
    <w:rsid w:val="004D0D2A"/>
    <w:rsid w:val="004F3FC2"/>
    <w:rsid w:val="00500F17"/>
    <w:rsid w:val="00522000"/>
    <w:rsid w:val="00531D21"/>
    <w:rsid w:val="00531E5E"/>
    <w:rsid w:val="00535822"/>
    <w:rsid w:val="005813FF"/>
    <w:rsid w:val="005D5013"/>
    <w:rsid w:val="005D714C"/>
    <w:rsid w:val="005F4652"/>
    <w:rsid w:val="005F75F6"/>
    <w:rsid w:val="006166BF"/>
    <w:rsid w:val="006424AC"/>
    <w:rsid w:val="00661D7A"/>
    <w:rsid w:val="006756AC"/>
    <w:rsid w:val="00691F04"/>
    <w:rsid w:val="006A6545"/>
    <w:rsid w:val="006C558C"/>
    <w:rsid w:val="006D4700"/>
    <w:rsid w:val="006F3970"/>
    <w:rsid w:val="00701FAA"/>
    <w:rsid w:val="00787F27"/>
    <w:rsid w:val="007908A0"/>
    <w:rsid w:val="007B26F7"/>
    <w:rsid w:val="007D61D6"/>
    <w:rsid w:val="00803098"/>
    <w:rsid w:val="00855DD3"/>
    <w:rsid w:val="008602A2"/>
    <w:rsid w:val="008954FA"/>
    <w:rsid w:val="008B4D53"/>
    <w:rsid w:val="008C3175"/>
    <w:rsid w:val="008D641A"/>
    <w:rsid w:val="008E3809"/>
    <w:rsid w:val="009068CD"/>
    <w:rsid w:val="009144A5"/>
    <w:rsid w:val="00923354"/>
    <w:rsid w:val="0094460B"/>
    <w:rsid w:val="00996C8A"/>
    <w:rsid w:val="009B30E5"/>
    <w:rsid w:val="009B7FE5"/>
    <w:rsid w:val="009C06D5"/>
    <w:rsid w:val="009C0AF1"/>
    <w:rsid w:val="009D45CF"/>
    <w:rsid w:val="009F70A8"/>
    <w:rsid w:val="00A025EA"/>
    <w:rsid w:val="00A16719"/>
    <w:rsid w:val="00A3412A"/>
    <w:rsid w:val="00A35463"/>
    <w:rsid w:val="00A51A05"/>
    <w:rsid w:val="00A669F2"/>
    <w:rsid w:val="00A814C8"/>
    <w:rsid w:val="00A85FD7"/>
    <w:rsid w:val="00AA676B"/>
    <w:rsid w:val="00AB53E2"/>
    <w:rsid w:val="00AD43C1"/>
    <w:rsid w:val="00AD7113"/>
    <w:rsid w:val="00B04E8C"/>
    <w:rsid w:val="00B138FC"/>
    <w:rsid w:val="00B14076"/>
    <w:rsid w:val="00B26CFC"/>
    <w:rsid w:val="00B80FB4"/>
    <w:rsid w:val="00B8699E"/>
    <w:rsid w:val="00B9647C"/>
    <w:rsid w:val="00BA5B66"/>
    <w:rsid w:val="00BA63D4"/>
    <w:rsid w:val="00BC6ADB"/>
    <w:rsid w:val="00BD37B7"/>
    <w:rsid w:val="00BE1F49"/>
    <w:rsid w:val="00C163A6"/>
    <w:rsid w:val="00C37BB1"/>
    <w:rsid w:val="00C84B0D"/>
    <w:rsid w:val="00C84BF2"/>
    <w:rsid w:val="00CA41A3"/>
    <w:rsid w:val="00D1176C"/>
    <w:rsid w:val="00D337A2"/>
    <w:rsid w:val="00DB077B"/>
    <w:rsid w:val="00DB7944"/>
    <w:rsid w:val="00DD1D77"/>
    <w:rsid w:val="00DD3C5F"/>
    <w:rsid w:val="00DE4C9B"/>
    <w:rsid w:val="00DE7CE6"/>
    <w:rsid w:val="00DF6364"/>
    <w:rsid w:val="00E0723A"/>
    <w:rsid w:val="00E113E2"/>
    <w:rsid w:val="00E27F8B"/>
    <w:rsid w:val="00E36262"/>
    <w:rsid w:val="00E62B5A"/>
    <w:rsid w:val="00E81B35"/>
    <w:rsid w:val="00E875B6"/>
    <w:rsid w:val="00EA5333"/>
    <w:rsid w:val="00ED2C0E"/>
    <w:rsid w:val="00EE0A9F"/>
    <w:rsid w:val="00EF6451"/>
    <w:rsid w:val="00F778B2"/>
    <w:rsid w:val="00F86B4E"/>
    <w:rsid w:val="00FF3019"/>
    <w:rsid w:val="0689C9E3"/>
    <w:rsid w:val="095B00B8"/>
    <w:rsid w:val="0B2C26BC"/>
    <w:rsid w:val="0BF88238"/>
    <w:rsid w:val="0C2FE953"/>
    <w:rsid w:val="0C465A4C"/>
    <w:rsid w:val="0D3C5846"/>
    <w:rsid w:val="0FAE9D15"/>
    <w:rsid w:val="10C0CB09"/>
    <w:rsid w:val="124E3C58"/>
    <w:rsid w:val="160B3D92"/>
    <w:rsid w:val="183A3791"/>
    <w:rsid w:val="1885153D"/>
    <w:rsid w:val="1AEA5B52"/>
    <w:rsid w:val="1C883E5E"/>
    <w:rsid w:val="1E0ABF73"/>
    <w:rsid w:val="226F91AB"/>
    <w:rsid w:val="2904CFEA"/>
    <w:rsid w:val="29F7EFB9"/>
    <w:rsid w:val="32C71768"/>
    <w:rsid w:val="36525325"/>
    <w:rsid w:val="366FB930"/>
    <w:rsid w:val="39BB5D6C"/>
    <w:rsid w:val="3BB6F8AF"/>
    <w:rsid w:val="3D2C2096"/>
    <w:rsid w:val="3EBB2265"/>
    <w:rsid w:val="3F24C065"/>
    <w:rsid w:val="41E09B0F"/>
    <w:rsid w:val="45DC8064"/>
    <w:rsid w:val="4603BDBB"/>
    <w:rsid w:val="48EE20A5"/>
    <w:rsid w:val="491C3978"/>
    <w:rsid w:val="4C2B53A7"/>
    <w:rsid w:val="4E03CBA3"/>
    <w:rsid w:val="4E4B43FF"/>
    <w:rsid w:val="4E507C0E"/>
    <w:rsid w:val="5111290B"/>
    <w:rsid w:val="51AAC34A"/>
    <w:rsid w:val="52275533"/>
    <w:rsid w:val="52734C76"/>
    <w:rsid w:val="544F0F6E"/>
    <w:rsid w:val="5475A0DE"/>
    <w:rsid w:val="550B4124"/>
    <w:rsid w:val="55B51B9E"/>
    <w:rsid w:val="56D59E13"/>
    <w:rsid w:val="5CD32A20"/>
    <w:rsid w:val="60B7B2B4"/>
    <w:rsid w:val="622CA83E"/>
    <w:rsid w:val="65789CCE"/>
    <w:rsid w:val="66C9080E"/>
    <w:rsid w:val="6846060B"/>
    <w:rsid w:val="7592EBFB"/>
    <w:rsid w:val="75D5709C"/>
    <w:rsid w:val="7668178E"/>
    <w:rsid w:val="771F0743"/>
    <w:rsid w:val="7875A85C"/>
    <w:rsid w:val="7A4B47A9"/>
    <w:rsid w:val="7BC664B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9B8224"/>
  <w15:chartTrackingRefBased/>
  <w15:docId w15:val="{52F78A9C-D086-4CAE-8B90-77D1615AD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rsid w:val="00047978"/>
    <w:pPr>
      <w:suppressAutoHyphens/>
      <w:spacing w:after="120" w:line="240" w:lineRule="auto"/>
    </w:pPr>
    <w:rPr>
      <w:rFonts w:ascii="Arial Narrow" w:eastAsia="MS Mincho" w:hAnsi="Arial Narrow" w:cs="Times New Roman"/>
      <w:kern w:val="0"/>
      <w:sz w:val="24"/>
      <w:szCs w:val="24"/>
      <w:lang w:val="es-ES" w:eastAsia="es-ES"/>
      <w14:ligatures w14:val="none"/>
    </w:rPr>
  </w:style>
  <w:style w:type="character" w:customStyle="1" w:styleId="TextoindependienteCar">
    <w:name w:val="Texto independiente Car"/>
    <w:basedOn w:val="Fuentedeprrafopredeter"/>
    <w:link w:val="Textoindependiente"/>
    <w:rsid w:val="00047978"/>
    <w:rPr>
      <w:rFonts w:ascii="Arial Narrow" w:eastAsia="MS Mincho" w:hAnsi="Arial Narrow" w:cs="Times New Roman"/>
      <w:sz w:val="24"/>
      <w:szCs w:val="24"/>
      <w:lang w:val="es-ES" w:eastAsia="es-ES"/>
    </w:rPr>
  </w:style>
  <w:style w:type="paragraph" w:customStyle="1" w:styleId="Contenidodelatabla">
    <w:name w:val="Contenido de la tabla"/>
    <w:basedOn w:val="Normal"/>
    <w:qFormat/>
    <w:rsid w:val="00047978"/>
    <w:pPr>
      <w:suppressLineNumbers/>
      <w:suppressAutoHyphens/>
      <w:spacing w:after="0" w:line="240" w:lineRule="auto"/>
    </w:pPr>
    <w:rPr>
      <w:rFonts w:ascii="Arial Narrow" w:eastAsia="MS Mincho;ＭＳ 明朝" w:hAnsi="Arial Narrow" w:cs="Arial Narrow"/>
      <w:kern w:val="0"/>
      <w:sz w:val="24"/>
      <w:szCs w:val="24"/>
      <w:lang w:val="es-ES" w:eastAsia="zh-CN"/>
      <w14:ligatures w14:val="none"/>
    </w:rPr>
  </w:style>
  <w:style w:type="paragraph" w:styleId="Prrafodelista">
    <w:name w:val="List Paragraph"/>
    <w:basedOn w:val="Normal"/>
    <w:uiPriority w:val="34"/>
    <w:qFormat/>
    <w:rsid w:val="00B14076"/>
    <w:pPr>
      <w:ind w:left="720"/>
      <w:contextualSpacing/>
    </w:pPr>
  </w:style>
  <w:style w:type="character" w:styleId="Refdecomentario">
    <w:name w:val="annotation reference"/>
    <w:basedOn w:val="Fuentedeprrafopredeter"/>
    <w:rsid w:val="00B14076"/>
    <w:rPr>
      <w:sz w:val="16"/>
      <w:szCs w:val="16"/>
    </w:rPr>
  </w:style>
  <w:style w:type="paragraph" w:styleId="Textocomentario">
    <w:name w:val="annotation text"/>
    <w:basedOn w:val="Normal"/>
    <w:link w:val="TextocomentarioCar"/>
    <w:rsid w:val="00B14076"/>
    <w:pPr>
      <w:suppressAutoHyphens/>
      <w:spacing w:after="0" w:line="240" w:lineRule="auto"/>
    </w:pPr>
    <w:rPr>
      <w:rFonts w:ascii="Arial Narrow" w:eastAsia="MS Mincho" w:hAnsi="Arial Narrow" w:cs="Times New Roman"/>
      <w:kern w:val="0"/>
      <w:sz w:val="20"/>
      <w:szCs w:val="20"/>
      <w:lang w:val="es-ES" w:eastAsia="es-ES"/>
      <w14:ligatures w14:val="none"/>
    </w:rPr>
  </w:style>
  <w:style w:type="character" w:customStyle="1" w:styleId="TextocomentarioCar">
    <w:name w:val="Texto comentario Car"/>
    <w:basedOn w:val="Fuentedeprrafopredeter"/>
    <w:link w:val="Textocomentario"/>
    <w:rsid w:val="00B14076"/>
    <w:rPr>
      <w:rFonts w:ascii="Arial Narrow" w:eastAsia="MS Mincho" w:hAnsi="Arial Narrow" w:cs="Times New Roman"/>
      <w:sz w:val="20"/>
      <w:szCs w:val="20"/>
      <w:lang w:val="es-ES" w:eastAsia="es-ES"/>
    </w:rPr>
  </w:style>
  <w:style w:type="paragraph" w:customStyle="1" w:styleId="Default">
    <w:name w:val="Default"/>
    <w:rsid w:val="00DE7CE6"/>
    <w:pPr>
      <w:autoSpaceDE w:val="0"/>
      <w:autoSpaceDN w:val="0"/>
      <w:adjustRightInd w:val="0"/>
      <w:spacing w:after="0" w:line="240" w:lineRule="auto"/>
    </w:pPr>
    <w:rPr>
      <w:rFonts w:ascii="Work Sans" w:hAnsi="Work Sans" w:cs="Work Sans"/>
      <w:color w:val="000000"/>
      <w:sz w:val="24"/>
      <w:szCs w:val="24"/>
    </w:rPr>
  </w:style>
  <w:style w:type="character" w:styleId="Hipervnculo">
    <w:name w:val="Hyperlink"/>
    <w:basedOn w:val="Fuentedeprrafopredeter"/>
    <w:uiPriority w:val="99"/>
    <w:unhideWhenUsed/>
    <w:rsid w:val="00DB077B"/>
    <w:rPr>
      <w:color w:val="0563C1" w:themeColor="hyperlink"/>
      <w:u w:val="single"/>
    </w:rPr>
  </w:style>
  <w:style w:type="character" w:customStyle="1" w:styleId="Mencinsinresolver1">
    <w:name w:val="Mención sin resolver1"/>
    <w:basedOn w:val="Fuentedeprrafopredeter"/>
    <w:uiPriority w:val="99"/>
    <w:semiHidden/>
    <w:unhideWhenUsed/>
    <w:rsid w:val="00DB077B"/>
    <w:rPr>
      <w:color w:val="605E5C"/>
      <w:shd w:val="clear" w:color="auto" w:fill="E1DFDD"/>
    </w:rPr>
  </w:style>
  <w:style w:type="paragraph" w:styleId="Asuntodelcomentario">
    <w:name w:val="annotation subject"/>
    <w:basedOn w:val="Textocomentario"/>
    <w:next w:val="Textocomentario"/>
    <w:link w:val="AsuntodelcomentarioCar"/>
    <w:uiPriority w:val="99"/>
    <w:semiHidden/>
    <w:unhideWhenUsed/>
    <w:rsid w:val="000D3FD5"/>
    <w:pPr>
      <w:suppressAutoHyphens w:val="0"/>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0D3FD5"/>
    <w:rPr>
      <w:rFonts w:ascii="Arial Narrow" w:eastAsia="MS Mincho" w:hAnsi="Arial Narrow" w:cs="Times New Roman"/>
      <w:b/>
      <w:bCs/>
      <w:kern w:val="2"/>
      <w:sz w:val="20"/>
      <w:szCs w:val="20"/>
      <w:lang w:val="es-ES" w:eastAsia="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427316340">
      <w:bodyDiv w:val="1"/>
      <w:marLeft w:val="0"/>
      <w:marRight w:val="0"/>
      <w:marTop w:val="0"/>
      <w:marBottom w:val="0"/>
      <w:divBdr>
        <w:top w:val="none" w:sz="0" w:space="0" w:color="auto"/>
        <w:left w:val="none" w:sz="0" w:space="0" w:color="auto"/>
        <w:bottom w:val="none" w:sz="0" w:space="0" w:color="auto"/>
        <w:right w:val="none" w:sz="0" w:space="0" w:color="auto"/>
      </w:divBdr>
      <w:divsChild>
        <w:div w:id="657071396">
          <w:marLeft w:val="0"/>
          <w:marRight w:val="0"/>
          <w:marTop w:val="0"/>
          <w:marBottom w:val="0"/>
          <w:divBdr>
            <w:top w:val="none" w:sz="0" w:space="0" w:color="auto"/>
            <w:left w:val="none" w:sz="0" w:space="0" w:color="auto"/>
            <w:bottom w:val="none" w:sz="0" w:space="0" w:color="auto"/>
            <w:right w:val="none" w:sz="0" w:space="0" w:color="auto"/>
          </w:divBdr>
        </w:div>
        <w:div w:id="1901596022">
          <w:marLeft w:val="0"/>
          <w:marRight w:val="0"/>
          <w:marTop w:val="0"/>
          <w:marBottom w:val="0"/>
          <w:divBdr>
            <w:top w:val="none" w:sz="0" w:space="0" w:color="auto"/>
            <w:left w:val="none" w:sz="0" w:space="0" w:color="auto"/>
            <w:bottom w:val="none" w:sz="0" w:space="0" w:color="auto"/>
            <w:right w:val="none" w:sz="0" w:space="0" w:color="auto"/>
          </w:divBdr>
        </w:div>
        <w:div w:id="1661616108">
          <w:marLeft w:val="0"/>
          <w:marRight w:val="0"/>
          <w:marTop w:val="0"/>
          <w:marBottom w:val="0"/>
          <w:divBdr>
            <w:top w:val="none" w:sz="0" w:space="0" w:color="auto"/>
            <w:left w:val="none" w:sz="0" w:space="0" w:color="auto"/>
            <w:bottom w:val="none" w:sz="0" w:space="0" w:color="auto"/>
            <w:right w:val="none" w:sz="0" w:space="0" w:color="auto"/>
          </w:divBdr>
        </w:div>
        <w:div w:id="1784643318">
          <w:marLeft w:val="0"/>
          <w:marRight w:val="0"/>
          <w:marTop w:val="0"/>
          <w:marBottom w:val="0"/>
          <w:divBdr>
            <w:top w:val="none" w:sz="0" w:space="0" w:color="auto"/>
            <w:left w:val="none" w:sz="0" w:space="0" w:color="auto"/>
            <w:bottom w:val="none" w:sz="0" w:space="0" w:color="auto"/>
            <w:right w:val="none" w:sz="0" w:space="0" w:color="auto"/>
          </w:divBdr>
        </w:div>
        <w:div w:id="1570842428">
          <w:marLeft w:val="0"/>
          <w:marRight w:val="0"/>
          <w:marTop w:val="0"/>
          <w:marBottom w:val="0"/>
          <w:divBdr>
            <w:top w:val="none" w:sz="0" w:space="0" w:color="auto"/>
            <w:left w:val="none" w:sz="0" w:space="0" w:color="auto"/>
            <w:bottom w:val="none" w:sz="0" w:space="0" w:color="auto"/>
            <w:right w:val="none" w:sz="0" w:space="0" w:color="auto"/>
          </w:divBdr>
        </w:div>
        <w:div w:id="1041512101">
          <w:marLeft w:val="0"/>
          <w:marRight w:val="0"/>
          <w:marTop w:val="0"/>
          <w:marBottom w:val="0"/>
          <w:divBdr>
            <w:top w:val="none" w:sz="0" w:space="0" w:color="auto"/>
            <w:left w:val="none" w:sz="0" w:space="0" w:color="auto"/>
            <w:bottom w:val="none" w:sz="0" w:space="0" w:color="auto"/>
            <w:right w:val="none" w:sz="0" w:space="0" w:color="auto"/>
          </w:divBdr>
        </w:div>
        <w:div w:id="1625696214">
          <w:marLeft w:val="0"/>
          <w:marRight w:val="0"/>
          <w:marTop w:val="0"/>
          <w:marBottom w:val="0"/>
          <w:divBdr>
            <w:top w:val="none" w:sz="0" w:space="0" w:color="auto"/>
            <w:left w:val="none" w:sz="0" w:space="0" w:color="auto"/>
            <w:bottom w:val="none" w:sz="0" w:space="0" w:color="auto"/>
            <w:right w:val="none" w:sz="0" w:space="0" w:color="auto"/>
          </w:divBdr>
        </w:div>
      </w:divsChild>
    </w:div>
    <w:div w:id="712388168">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926889319">
      <w:bodyDiv w:val="1"/>
      <w:marLeft w:val="0"/>
      <w:marRight w:val="0"/>
      <w:marTop w:val="0"/>
      <w:marBottom w:val="0"/>
      <w:divBdr>
        <w:top w:val="none" w:sz="0" w:space="0" w:color="auto"/>
        <w:left w:val="none" w:sz="0" w:space="0" w:color="auto"/>
        <w:bottom w:val="none" w:sz="0" w:space="0" w:color="auto"/>
        <w:right w:val="none" w:sz="0" w:space="0" w:color="auto"/>
      </w:divBdr>
    </w:div>
    <w:div w:id="1132362149">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499887643">
      <w:bodyDiv w:val="1"/>
      <w:marLeft w:val="0"/>
      <w:marRight w:val="0"/>
      <w:marTop w:val="0"/>
      <w:marBottom w:val="0"/>
      <w:divBdr>
        <w:top w:val="none" w:sz="0" w:space="0" w:color="auto"/>
        <w:left w:val="none" w:sz="0" w:space="0" w:color="auto"/>
        <w:bottom w:val="none" w:sz="0" w:space="0" w:color="auto"/>
        <w:right w:val="none" w:sz="0" w:space="0" w:color="auto"/>
      </w:divBdr>
      <w:divsChild>
        <w:div w:id="1810054750">
          <w:marLeft w:val="0"/>
          <w:marRight w:val="0"/>
          <w:marTop w:val="0"/>
          <w:marBottom w:val="0"/>
          <w:divBdr>
            <w:top w:val="none" w:sz="0" w:space="0" w:color="auto"/>
            <w:left w:val="none" w:sz="0" w:space="0" w:color="auto"/>
            <w:bottom w:val="none" w:sz="0" w:space="0" w:color="auto"/>
            <w:right w:val="none" w:sz="0" w:space="0" w:color="auto"/>
          </w:divBdr>
        </w:div>
        <w:div w:id="1164398446">
          <w:marLeft w:val="0"/>
          <w:marRight w:val="0"/>
          <w:marTop w:val="0"/>
          <w:marBottom w:val="0"/>
          <w:divBdr>
            <w:top w:val="none" w:sz="0" w:space="0" w:color="auto"/>
            <w:left w:val="none" w:sz="0" w:space="0" w:color="auto"/>
            <w:bottom w:val="none" w:sz="0" w:space="0" w:color="auto"/>
            <w:right w:val="none" w:sz="0" w:space="0" w:color="auto"/>
          </w:divBdr>
        </w:div>
        <w:div w:id="1599557993">
          <w:marLeft w:val="0"/>
          <w:marRight w:val="0"/>
          <w:marTop w:val="0"/>
          <w:marBottom w:val="0"/>
          <w:divBdr>
            <w:top w:val="none" w:sz="0" w:space="0" w:color="auto"/>
            <w:left w:val="none" w:sz="0" w:space="0" w:color="auto"/>
            <w:bottom w:val="none" w:sz="0" w:space="0" w:color="auto"/>
            <w:right w:val="none" w:sz="0" w:space="0" w:color="auto"/>
          </w:divBdr>
        </w:div>
        <w:div w:id="1497956899">
          <w:marLeft w:val="0"/>
          <w:marRight w:val="0"/>
          <w:marTop w:val="0"/>
          <w:marBottom w:val="0"/>
          <w:divBdr>
            <w:top w:val="none" w:sz="0" w:space="0" w:color="auto"/>
            <w:left w:val="none" w:sz="0" w:space="0" w:color="auto"/>
            <w:bottom w:val="none" w:sz="0" w:space="0" w:color="auto"/>
            <w:right w:val="none" w:sz="0" w:space="0" w:color="auto"/>
          </w:divBdr>
        </w:div>
        <w:div w:id="302002708">
          <w:marLeft w:val="0"/>
          <w:marRight w:val="0"/>
          <w:marTop w:val="0"/>
          <w:marBottom w:val="0"/>
          <w:divBdr>
            <w:top w:val="none" w:sz="0" w:space="0" w:color="auto"/>
            <w:left w:val="none" w:sz="0" w:space="0" w:color="auto"/>
            <w:bottom w:val="none" w:sz="0" w:space="0" w:color="auto"/>
            <w:right w:val="none" w:sz="0" w:space="0" w:color="auto"/>
          </w:divBdr>
        </w:div>
        <w:div w:id="777211777">
          <w:marLeft w:val="0"/>
          <w:marRight w:val="0"/>
          <w:marTop w:val="0"/>
          <w:marBottom w:val="0"/>
          <w:divBdr>
            <w:top w:val="none" w:sz="0" w:space="0" w:color="auto"/>
            <w:left w:val="none" w:sz="0" w:space="0" w:color="auto"/>
            <w:bottom w:val="none" w:sz="0" w:space="0" w:color="auto"/>
            <w:right w:val="none" w:sz="0" w:space="0" w:color="auto"/>
          </w:divBdr>
        </w:div>
        <w:div w:id="552349484">
          <w:marLeft w:val="0"/>
          <w:marRight w:val="0"/>
          <w:marTop w:val="0"/>
          <w:marBottom w:val="0"/>
          <w:divBdr>
            <w:top w:val="none" w:sz="0" w:space="0" w:color="auto"/>
            <w:left w:val="none" w:sz="0" w:space="0" w:color="auto"/>
            <w:bottom w:val="none" w:sz="0" w:space="0" w:color="auto"/>
            <w:right w:val="none" w:sz="0" w:space="0" w:color="auto"/>
          </w:divBdr>
        </w:div>
      </w:divsChild>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 w:id="17367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menergia@minenergia.gov.co"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5c9971b-4af2-4910-aef3-2cad1a35f476">
      <Terms xmlns="http://schemas.microsoft.com/office/infopath/2007/PartnerControls"/>
    </lcf76f155ced4ddcb4097134ff3c332f>
    <TaxCatchAll xmlns="af2d8adb-3840-4785-85e6-203d1c9fd3e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4BBD8612CDA65488E613314C8FE08BF" ma:contentTypeVersion="11" ma:contentTypeDescription="Crear nuevo documento." ma:contentTypeScope="" ma:versionID="7b2367eca9b418c66dd8e8c8f402b87e">
  <xsd:schema xmlns:xsd="http://www.w3.org/2001/XMLSchema" xmlns:xs="http://www.w3.org/2001/XMLSchema" xmlns:p="http://schemas.microsoft.com/office/2006/metadata/properties" xmlns:ns2="d5c9971b-4af2-4910-aef3-2cad1a35f476" xmlns:ns3="af2d8adb-3840-4785-85e6-203d1c9fd3e1" targetNamespace="http://schemas.microsoft.com/office/2006/metadata/properties" ma:root="true" ma:fieldsID="1669646234f5d7fb97d5873f09d03b91" ns2:_="" ns3:_="">
    <xsd:import namespace="d5c9971b-4af2-4910-aef3-2cad1a35f476"/>
    <xsd:import namespace="af2d8adb-3840-4785-85e6-203d1c9fd3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9971b-4af2-4910-aef3-2cad1a35f4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2d8adb-3840-4785-85e6-203d1c9fd3e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553efda7-8195-4679-a9f6-a68d2c9b10ba}" ma:internalName="TaxCatchAll" ma:showField="CatchAllData" ma:web="af2d8adb-3840-4785-85e6-203d1c9fd3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F4B5D7-3A61-4DFD-8D8C-B739AE46BCDD}">
  <ds:schemaRefs>
    <ds:schemaRef ds:uri="http://schemas.microsoft.com/office/2006/metadata/properties"/>
    <ds:schemaRef ds:uri="http://schemas.microsoft.com/office/infopath/2007/PartnerControls"/>
    <ds:schemaRef ds:uri="d5c9971b-4af2-4910-aef3-2cad1a35f476"/>
    <ds:schemaRef ds:uri="af2d8adb-3840-4785-85e6-203d1c9fd3e1"/>
  </ds:schemaRefs>
</ds:datastoreItem>
</file>

<file path=customXml/itemProps2.xml><?xml version="1.0" encoding="utf-8"?>
<ds:datastoreItem xmlns:ds="http://schemas.openxmlformats.org/officeDocument/2006/customXml" ds:itemID="{CE211E40-B792-4A17-8DE6-DF076C6EE187}">
  <ds:schemaRefs>
    <ds:schemaRef ds:uri="http://schemas.microsoft.com/sharepoint/v3/contenttype/forms"/>
  </ds:schemaRefs>
</ds:datastoreItem>
</file>

<file path=customXml/itemProps3.xml><?xml version="1.0" encoding="utf-8"?>
<ds:datastoreItem xmlns:ds="http://schemas.openxmlformats.org/officeDocument/2006/customXml" ds:itemID="{53FABE84-A839-4B63-B1BE-28CE7A683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9971b-4af2-4910-aef3-2cad1a35f476"/>
    <ds:schemaRef ds:uri="af2d8adb-3840-4785-85e6-203d1c9fd3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F3823B-1CCC-48D7-9308-01F650177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6</Pages>
  <Words>2243</Words>
  <Characters>12338</Characters>
  <Application>Microsoft Office Word</Application>
  <DocSecurity>0</DocSecurity>
  <Lines>102</Lines>
  <Paragraphs>29</Paragraphs>
  <ScaleCrop>false</ScaleCrop>
  <Company/>
  <LinksUpToDate>false</LinksUpToDate>
  <CharactersWithSpaces>14552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jnriverosa@gmail.com</cp:lastModifiedBy>
  <cp:revision>29</cp:revision>
  <cp:lastPrinted>2024-09-06T23:29:00Z</cp:lastPrinted>
  <dcterms:created xsi:type="dcterms:W3CDTF">2026-01-21T14:16:00Z</dcterms:created>
  <dcterms:modified xsi:type="dcterms:W3CDTF">2026-04-28T20:52:00Z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0x010100B4BBD8612CDA65488E613314C8FE08BF</vt:lpwstr>
  </property>
</Properties>
</file>